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7D287" w14:textId="77777777" w:rsidR="00CD4FFF" w:rsidRDefault="00CD4FFF" w:rsidP="00940CB2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E81A0BE" w14:textId="075921F1" w:rsidR="00796B4D" w:rsidRPr="00D3478A" w:rsidRDefault="00796B4D" w:rsidP="00940CB2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701317">
        <w:rPr>
          <w:rFonts w:ascii="Arial" w:hAnsi="Arial" w:cs="Arial"/>
          <w:sz w:val="32"/>
          <w:szCs w:val="32"/>
        </w:rPr>
        <w:t>TISKOVÁ ZPRÁVA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D1C6E6E" w14:textId="77777777" w:rsidR="00A93BD4" w:rsidRDefault="00A93BD4" w:rsidP="001636DF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MailAutoSig"/>
    </w:p>
    <w:p w14:paraId="64532335" w14:textId="77777777" w:rsidR="00CD4FFF" w:rsidRPr="008F0982" w:rsidRDefault="00CD4FFF" w:rsidP="001636DF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80D4A1" w14:textId="64DCD19E" w:rsidR="000A6C9F" w:rsidRPr="000A6C9F" w:rsidRDefault="000A6C9F" w:rsidP="000A6C9F">
      <w:pPr>
        <w:spacing w:after="0"/>
        <w:jc w:val="center"/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</w:pPr>
      <w:r w:rsidRPr="000A6C9F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 xml:space="preserve">Evropský parlament </w:t>
      </w:r>
      <w:r w:rsidR="002D2A07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 xml:space="preserve">dal zelenou </w:t>
      </w:r>
      <w:r w:rsidRPr="000A6C9F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>odkl</w:t>
      </w:r>
      <w:r w:rsidR="002D2A07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 xml:space="preserve">adu pravidel pro </w:t>
      </w:r>
      <w:r w:rsidRPr="000A6C9F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>udržitelnost</w:t>
      </w:r>
      <w:r w:rsidR="002D2A07">
        <w:rPr>
          <w:rFonts w:ascii="Arial" w:eastAsiaTheme="minorEastAsia" w:hAnsi="Arial" w:cs="Arial"/>
          <w:b/>
          <w:bCs/>
          <w:noProof/>
          <w:color w:val="000000"/>
          <w:sz w:val="36"/>
          <w:szCs w:val="36"/>
          <w:lang w:eastAsia="cs-CZ"/>
        </w:rPr>
        <w:t xml:space="preserve">. Pro některé firmy to znamená, že nikam pospíchat nemusí.  </w:t>
      </w:r>
    </w:p>
    <w:p w14:paraId="52A8DBAC" w14:textId="77777777" w:rsidR="000A6C9F" w:rsidRDefault="000A6C9F" w:rsidP="000A6C9F">
      <w:pPr>
        <w:spacing w:after="0"/>
        <w:jc w:val="both"/>
        <w:rPr>
          <w:rFonts w:ascii="Arial" w:eastAsiaTheme="minorEastAsia" w:hAnsi="Arial" w:cs="Arial"/>
          <w:i/>
          <w:iCs/>
          <w:noProof/>
          <w:color w:val="000000"/>
          <w:lang w:eastAsia="cs-CZ"/>
        </w:rPr>
      </w:pPr>
    </w:p>
    <w:p w14:paraId="22A93376" w14:textId="77777777" w:rsidR="00CD4FFF" w:rsidRDefault="00CD4FFF" w:rsidP="00FC0C33">
      <w:pPr>
        <w:spacing w:after="120"/>
        <w:jc w:val="both"/>
        <w:rPr>
          <w:rFonts w:ascii="Arial" w:eastAsiaTheme="minorEastAsia" w:hAnsi="Arial" w:cs="Arial"/>
          <w:i/>
          <w:iCs/>
          <w:noProof/>
          <w:color w:val="000000"/>
          <w:lang w:eastAsia="cs-CZ"/>
        </w:rPr>
      </w:pPr>
    </w:p>
    <w:p w14:paraId="13101B35" w14:textId="77777777" w:rsidR="00493FC2" w:rsidRDefault="000A6C9F" w:rsidP="00FC0C33">
      <w:pPr>
        <w:spacing w:after="120"/>
        <w:jc w:val="both"/>
        <w:rPr>
          <w:rFonts w:ascii="Arial" w:eastAsiaTheme="minorEastAsia" w:hAnsi="Arial" w:cs="Arial"/>
          <w:b/>
          <w:bCs/>
          <w:noProof/>
          <w:color w:val="000000"/>
          <w:lang w:eastAsia="cs-CZ"/>
        </w:rPr>
      </w:pP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Brusel, 4. dubna 2025</w:t>
      </w:r>
      <w:r>
        <w:rPr>
          <w:rFonts w:ascii="Arial" w:eastAsiaTheme="minorEastAsia" w:hAnsi="Arial" w:cs="Arial"/>
          <w:noProof/>
          <w:color w:val="000000"/>
          <w:lang w:eastAsia="cs-CZ"/>
        </w:rPr>
        <w:t xml:space="preserve"> - </w:t>
      </w:r>
      <w:r w:rsidRPr="000A6C9F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Evropský parlament včera schválil odklad účinnosti směrnic CSRD a CSDDD, které zavádějí nové povinnosti firem v oblasti udržitelnosti. </w:t>
      </w:r>
      <w:r w:rsidR="001029BE" w:rsidRPr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Podle Hospodářské komory ČR jde o vítaný krok, který má za cíl </w:t>
      </w:r>
      <w:r w:rsidR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získat </w:t>
      </w:r>
      <w:r w:rsidR="001029BE" w:rsidRPr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čas </w:t>
      </w:r>
      <w:r w:rsidR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pro projednání</w:t>
      </w:r>
      <w:r w:rsidR="001029BE" w:rsidRPr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 dalšího balíku návrhů na zjednodušení této legislativy. Díky těmto navrhovaným změnám by mohlo být v konečném důsledku z  rozsahu poviností  CSRD vyjmouto až 80 % firem.</w:t>
      </w:r>
      <w:r w:rsidR="001029BE" w:rsidRPr="001029BE" w:rsidDel="001029B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 xml:space="preserve"> </w:t>
      </w:r>
    </w:p>
    <w:p w14:paraId="30833AC6" w14:textId="7702B36B" w:rsidR="00CD4FFF" w:rsidRDefault="000A6C9F" w:rsidP="00E7147D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 w:rsidRPr="000A6C9F">
        <w:rPr>
          <w:rFonts w:ascii="Arial" w:eastAsiaTheme="minorEastAsia" w:hAnsi="Arial" w:cs="Arial"/>
          <w:noProof/>
          <w:color w:val="000000"/>
          <w:lang w:eastAsia="cs-CZ"/>
        </w:rPr>
        <w:t>„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Rozhodnutí Evropského parlamentu vítáme jako krok správným směrem. </w:t>
      </w:r>
      <w:r w:rsidR="00A0166E" w:rsidRPr="00A0166E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Těší nás, že se do Bruselu vrátila racionalita a zjednodušení složitých byrokratických opatření je bráno vážně</w:t>
      </w:r>
      <w:r w:rsidR="00FC0C33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,</w:t>
      </w:r>
      <w:r w:rsidR="00FC0C33" w:rsidRPr="000A6C9F">
        <w:rPr>
          <w:rFonts w:ascii="Arial" w:eastAsiaTheme="minorEastAsia" w:hAnsi="Arial" w:cs="Arial"/>
          <w:noProof/>
          <w:color w:val="000000"/>
          <w:lang w:eastAsia="cs-CZ"/>
        </w:rPr>
        <w:t>“ říká Alena Mastantuono, zástupkyně Hospodářské komory ČR v Bruselu.</w:t>
      </w:r>
    </w:p>
    <w:p w14:paraId="04E57A9A" w14:textId="4556DDAE" w:rsidR="00FC0C33" w:rsidRDefault="002D2A07" w:rsidP="00E7147D">
      <w:pPr>
        <w:spacing w:after="120"/>
        <w:jc w:val="both"/>
        <w:rPr>
          <w:rFonts w:ascii="Arial" w:eastAsiaTheme="minorEastAsia" w:hAnsi="Arial" w:cs="Arial"/>
          <w:i/>
          <w:iCs/>
          <w:noProof/>
          <w:color w:val="000000"/>
          <w:lang w:eastAsia="cs-CZ"/>
        </w:rPr>
      </w:pPr>
      <w:r w:rsidRPr="00CD4FFF">
        <w:rPr>
          <w:rFonts w:ascii="Arial" w:eastAsiaTheme="minorEastAsia" w:hAnsi="Arial" w:cs="Arial"/>
          <w:noProof/>
          <w:color w:val="000000"/>
          <w:lang w:eastAsia="cs-CZ"/>
        </w:rPr>
        <w:t xml:space="preserve">Odklad účinnosti </w:t>
      </w:r>
      <w:r w:rsidR="00561AD2" w:rsidRPr="00CD4FFF">
        <w:rPr>
          <w:rFonts w:ascii="Arial" w:eastAsiaTheme="minorEastAsia" w:hAnsi="Arial" w:cs="Arial"/>
          <w:noProof/>
          <w:color w:val="000000"/>
          <w:lang w:eastAsia="cs-CZ"/>
        </w:rPr>
        <w:t xml:space="preserve">má za cíl </w:t>
      </w:r>
      <w:r w:rsidR="007346D9">
        <w:rPr>
          <w:rFonts w:ascii="Arial" w:eastAsiaTheme="minorEastAsia" w:hAnsi="Arial" w:cs="Arial"/>
          <w:noProof/>
          <w:color w:val="000000"/>
          <w:lang w:eastAsia="cs-CZ"/>
        </w:rPr>
        <w:t>získat</w:t>
      </w:r>
      <w:r w:rsidR="00561AD2" w:rsidRPr="00CD4FFF">
        <w:rPr>
          <w:rFonts w:ascii="Arial" w:eastAsiaTheme="minorEastAsia" w:hAnsi="Arial" w:cs="Arial"/>
          <w:noProof/>
          <w:color w:val="000000"/>
          <w:lang w:eastAsia="cs-CZ"/>
        </w:rPr>
        <w:t xml:space="preserve"> čas, během něhož se projednají konkrétní parametry pro zjednodušení pravidel</w:t>
      </w:r>
      <w:r w:rsidR="00FC0C33">
        <w:rPr>
          <w:rFonts w:ascii="Arial" w:eastAsiaTheme="minorEastAsia" w:hAnsi="Arial" w:cs="Arial"/>
          <w:noProof/>
          <w:color w:val="000000"/>
          <w:lang w:eastAsia="cs-CZ"/>
        </w:rPr>
        <w:t xml:space="preserve"> v oblasti udržitelnosti</w:t>
      </w:r>
      <w:r w:rsidR="0075297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.</w:t>
      </w:r>
    </w:p>
    <w:p w14:paraId="1F64CF52" w14:textId="16B024C2" w:rsidR="00FC0C33" w:rsidRDefault="00FC0C33" w:rsidP="00FC0C33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„</w:t>
      </w:r>
      <w:r w:rsidR="001029BE" w:rsidRPr="001029BE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Snahou Hospodářské komory nyní bude</w:t>
      </w:r>
      <w:r w:rsidR="002D2A07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, aby 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v následujícím kroku </w:t>
      </w:r>
      <w:r w:rsidR="002D2A07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byly přijaty</w:t>
      </w:r>
      <w:r w:rsidR="000A6C9F"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zásadní změny, které 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z </w:t>
      </w:r>
      <w:r w:rsidR="002D2A07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legislativ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y vyjmou co nejvíce firem, pravidla zjednoduší a s</w:t>
      </w:r>
      <w:r w:rsidR="00D3478A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ladí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s další legislativou EU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. </w:t>
      </w:r>
      <w:r w:rsidRPr="00E7147D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Projednávání této změny ale potrvá minimálně dalšího půl roku,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proto je důležité rychlé schválení odkladu. Odklad musí ještě potvrdit Rada, </w:t>
      </w:r>
      <w:r w:rsidR="0075297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což v tomto případě znamená jen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formalitu</w:t>
      </w:r>
      <w:r w:rsidR="001029BE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,</w:t>
      </w:r>
      <w:r w:rsidRPr="00E7147D">
        <w:rPr>
          <w:rFonts w:ascii="Arial" w:eastAsiaTheme="minorEastAsia" w:hAnsi="Arial" w:cs="Arial"/>
          <w:noProof/>
          <w:color w:val="000000"/>
          <w:lang w:eastAsia="cs-CZ"/>
        </w:rPr>
        <w:t>“ vysvětluje Alena Mastantuono.</w:t>
      </w:r>
    </w:p>
    <w:p w14:paraId="5E05A75E" w14:textId="2015CBDF" w:rsidR="00FC0C33" w:rsidRDefault="0075297F" w:rsidP="00E7147D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>
        <w:rPr>
          <w:rFonts w:ascii="Arial" w:eastAsiaTheme="minorEastAsia" w:hAnsi="Arial" w:cs="Arial"/>
          <w:noProof/>
          <w:color w:val="000000"/>
          <w:lang w:eastAsia="cs-CZ"/>
        </w:rPr>
        <w:t xml:space="preserve">Schválený odklad </w:t>
      </w:r>
      <w:r w:rsidR="00A0166E" w:rsidRPr="00A0166E">
        <w:rPr>
          <w:rFonts w:ascii="Arial" w:eastAsiaTheme="minorEastAsia" w:hAnsi="Arial" w:cs="Arial"/>
          <w:noProof/>
          <w:color w:val="000000"/>
          <w:lang w:eastAsia="cs-CZ"/>
        </w:rPr>
        <w:t>se týk</w:t>
      </w:r>
      <w:r>
        <w:rPr>
          <w:rFonts w:ascii="Arial" w:eastAsiaTheme="minorEastAsia" w:hAnsi="Arial" w:cs="Arial"/>
          <w:noProof/>
          <w:color w:val="000000"/>
          <w:lang w:eastAsia="cs-CZ"/>
        </w:rPr>
        <w:t>á</w:t>
      </w:r>
      <w:r w:rsidR="00A0166E"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 zejména směrnice CSRD (Corporate Sustainability Reporting Directive), jejíž účinnost se posouvá o dva roky. </w:t>
      </w:r>
      <w:r>
        <w:rPr>
          <w:rFonts w:ascii="Arial" w:eastAsiaTheme="minorEastAsia" w:hAnsi="Arial" w:cs="Arial"/>
          <w:noProof/>
          <w:color w:val="000000"/>
          <w:lang w:eastAsia="cs-CZ"/>
        </w:rPr>
        <w:t>Pro firmy, kterým vzniká p</w:t>
      </w:r>
      <w:r w:rsidR="00A0166E"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ovinnost reportovat </w:t>
      </w:r>
      <w:r w:rsidR="003C4E1E">
        <w:rPr>
          <w:rFonts w:ascii="Arial" w:eastAsiaTheme="minorEastAsia" w:hAnsi="Arial" w:cs="Arial"/>
          <w:noProof/>
          <w:color w:val="000000"/>
          <w:lang w:eastAsia="cs-CZ"/>
        </w:rPr>
        <w:t xml:space="preserve">za roky </w:t>
      </w:r>
      <w:r w:rsidR="00A0166E"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2025 </w:t>
      </w:r>
      <w:r>
        <w:rPr>
          <w:rFonts w:ascii="Arial" w:eastAsiaTheme="minorEastAsia" w:hAnsi="Arial" w:cs="Arial"/>
          <w:noProof/>
          <w:color w:val="000000"/>
          <w:lang w:eastAsia="cs-CZ"/>
        </w:rPr>
        <w:t xml:space="preserve">a 2026 se termín odkládá o dva roky. </w:t>
      </w:r>
      <w:r w:rsidR="00A0166E"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 </w:t>
      </w:r>
    </w:p>
    <w:p w14:paraId="04DE6464" w14:textId="56780337" w:rsidR="000A6C9F" w:rsidRDefault="00A0166E" w:rsidP="00E7147D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Směrnice CSDDD (Corporate Sustainability Due Diligence Directive) se </w:t>
      </w:r>
      <w:r w:rsidR="001029BE">
        <w:rPr>
          <w:rFonts w:ascii="Arial" w:eastAsiaTheme="minorEastAsia" w:hAnsi="Arial" w:cs="Arial"/>
          <w:noProof/>
          <w:color w:val="000000"/>
          <w:lang w:eastAsia="cs-CZ"/>
        </w:rPr>
        <w:t xml:space="preserve">pak </w:t>
      </w:r>
      <w:r w:rsidRPr="00A0166E">
        <w:rPr>
          <w:rFonts w:ascii="Arial" w:eastAsiaTheme="minorEastAsia" w:hAnsi="Arial" w:cs="Arial"/>
          <w:noProof/>
          <w:color w:val="000000"/>
          <w:lang w:eastAsia="cs-CZ"/>
        </w:rPr>
        <w:t>odkládá o rok</w:t>
      </w:r>
      <w:r w:rsidR="00FC0C33">
        <w:rPr>
          <w:rFonts w:ascii="Arial" w:eastAsiaTheme="minorEastAsia" w:hAnsi="Arial" w:cs="Arial"/>
          <w:noProof/>
          <w:color w:val="000000"/>
          <w:lang w:eastAsia="cs-CZ"/>
        </w:rPr>
        <w:t xml:space="preserve"> pro</w:t>
      </w:r>
      <w:r w:rsidR="00FC0C33" w:rsidRPr="00FC0C33">
        <w:rPr>
          <w:rFonts w:ascii="Arial" w:eastAsiaTheme="minorEastAsia" w:hAnsi="Arial" w:cs="Arial"/>
          <w:noProof/>
          <w:color w:val="000000"/>
          <w:lang w:eastAsia="cs-CZ"/>
        </w:rPr>
        <w:t xml:space="preserve"> první vlnu podniků, konkrétně podniky z EU s více než 5 000 zaměstnanci a čistým obratem vyšším než 1,5 miliardy eur, a podniky mimo EU, které dosahují tohoto obratu v rámci EU. Tyto podniky budou muset pravidla uplatňovat až od roku 2028. Stejné datum bude platit i pro druhou vlnu podniků z EU s více než 3 000 zaměstnanci a čistým obratem vyšším než 900 milionů eur a </w:t>
      </w:r>
      <w:r w:rsidR="001029BE">
        <w:rPr>
          <w:rFonts w:ascii="Arial" w:eastAsiaTheme="minorEastAsia" w:hAnsi="Arial" w:cs="Arial"/>
          <w:noProof/>
          <w:color w:val="000000"/>
          <w:lang w:eastAsia="cs-CZ"/>
        </w:rPr>
        <w:t xml:space="preserve">také pro </w:t>
      </w:r>
      <w:r w:rsidR="00FC0C33" w:rsidRPr="00FC0C33">
        <w:rPr>
          <w:rFonts w:ascii="Arial" w:eastAsiaTheme="minorEastAsia" w:hAnsi="Arial" w:cs="Arial"/>
          <w:noProof/>
          <w:color w:val="000000"/>
          <w:lang w:eastAsia="cs-CZ"/>
        </w:rPr>
        <w:t>podniky mimo EU s obratem nad touto hranicí v rámci EU</w:t>
      </w:r>
      <w:r w:rsidRPr="00A0166E">
        <w:rPr>
          <w:rFonts w:ascii="Arial" w:eastAsiaTheme="minorEastAsia" w:hAnsi="Arial" w:cs="Arial"/>
          <w:noProof/>
          <w:color w:val="000000"/>
          <w:lang w:eastAsia="cs-CZ"/>
        </w:rPr>
        <w:t xml:space="preserve">. </w:t>
      </w:r>
      <w:r w:rsidR="000A6C9F" w:rsidRPr="000A6C9F">
        <w:rPr>
          <w:rFonts w:ascii="Arial" w:eastAsiaTheme="minorEastAsia" w:hAnsi="Arial" w:cs="Arial"/>
          <w:noProof/>
          <w:color w:val="000000"/>
          <w:lang w:eastAsia="cs-CZ"/>
        </w:rPr>
        <w:t xml:space="preserve">Přesto podle Komory přichází úleva pro </w:t>
      </w:r>
      <w:r w:rsidR="00561AD2">
        <w:rPr>
          <w:rFonts w:ascii="Arial" w:eastAsiaTheme="minorEastAsia" w:hAnsi="Arial" w:cs="Arial"/>
          <w:noProof/>
          <w:color w:val="000000"/>
          <w:lang w:eastAsia="cs-CZ"/>
        </w:rPr>
        <w:t>některé firmy</w:t>
      </w:r>
      <w:r w:rsidR="000A6C9F" w:rsidRPr="000A6C9F">
        <w:rPr>
          <w:rFonts w:ascii="Arial" w:eastAsiaTheme="minorEastAsia" w:hAnsi="Arial" w:cs="Arial"/>
          <w:noProof/>
          <w:color w:val="000000"/>
          <w:lang w:eastAsia="cs-CZ"/>
        </w:rPr>
        <w:t xml:space="preserve"> příliš pozdě.</w:t>
      </w:r>
    </w:p>
    <w:p w14:paraId="761AE99E" w14:textId="46A6252A" w:rsidR="00E7147D" w:rsidRDefault="000A6C9F" w:rsidP="00E7147D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 w:rsidRPr="000A6C9F">
        <w:rPr>
          <w:rFonts w:ascii="Arial" w:eastAsiaTheme="minorEastAsia" w:hAnsi="Arial" w:cs="Arial"/>
          <w:noProof/>
          <w:color w:val="000000"/>
          <w:lang w:eastAsia="cs-CZ"/>
        </w:rPr>
        <w:t>„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Některé</w:t>
      </w:r>
      <w:r w:rsidR="00561AD2"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podnik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y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už musel</w:t>
      </w:r>
      <w:r w:rsidR="00561AD2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y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jednat. Investovaly do poradenství, interních procesů i IT systémů, aby byly schopné požadavky plnit. Tyto náklady teď ztrácejí smysl – a firmám je nikdo nevrátí. To jen potvrzuje, že evropský přístup 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„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nejdřív reguluj, pak oprav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“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je neudržitelný a podkopává důvěru podnikatelů v předvídatelnost právního prostředí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 xml:space="preserve"> v sedmadva</w:t>
      </w:r>
      <w:r w:rsidR="00D3478A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cí</w:t>
      </w:r>
      <w:r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tce</w:t>
      </w:r>
      <w:r w:rsidRPr="000A6C9F">
        <w:rPr>
          <w:rFonts w:ascii="Arial" w:eastAsiaTheme="minorEastAsia" w:hAnsi="Arial" w:cs="Arial"/>
          <w:i/>
          <w:iCs/>
          <w:noProof/>
          <w:color w:val="000000"/>
          <w:lang w:eastAsia="cs-CZ"/>
        </w:rPr>
        <w:t>,</w:t>
      </w:r>
      <w:r w:rsidRPr="000A6C9F">
        <w:rPr>
          <w:rFonts w:ascii="Arial" w:eastAsiaTheme="minorEastAsia" w:hAnsi="Arial" w:cs="Arial"/>
          <w:noProof/>
          <w:color w:val="000000"/>
          <w:lang w:eastAsia="cs-CZ"/>
        </w:rPr>
        <w:t>“ dodává Mastantuono.</w:t>
      </w:r>
    </w:p>
    <w:p w14:paraId="28419442" w14:textId="62BE0BE5" w:rsidR="000A6C9F" w:rsidRDefault="000A6C9F" w:rsidP="00E7147D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 w:rsidRPr="000A6C9F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lastRenderedPageBreak/>
        <w:t>Hospodářská komora</w:t>
      </w:r>
      <w:r w:rsidRPr="000A6C9F">
        <w:rPr>
          <w:rFonts w:ascii="Arial" w:eastAsiaTheme="minorEastAsia" w:hAnsi="Arial" w:cs="Arial"/>
          <w:noProof/>
          <w:color w:val="000000"/>
          <w:lang w:eastAsia="cs-CZ"/>
        </w:rPr>
        <w:t xml:space="preserve"> dlouhodobě apeluje na to, aby evropská legislativa zohledňovala skutečné možnosti podniků, zejména malých a středních, a aby regulační zátěž nebyla uvalována bez jasné metodiky a přiměřeného přechodného období.</w:t>
      </w:r>
    </w:p>
    <w:p w14:paraId="3BF89F21" w14:textId="77777777" w:rsidR="008F0982" w:rsidRPr="008F0982" w:rsidRDefault="008F0982" w:rsidP="008F0982">
      <w:pPr>
        <w:spacing w:after="120"/>
        <w:jc w:val="both"/>
        <w:rPr>
          <w:rFonts w:ascii="Arial" w:eastAsiaTheme="minorEastAsia" w:hAnsi="Arial" w:cs="Arial"/>
          <w:noProof/>
          <w:color w:val="000000"/>
          <w:lang w:eastAsia="cs-CZ"/>
        </w:rPr>
      </w:pPr>
      <w:r>
        <w:rPr>
          <w:rFonts w:ascii="Arial" w:eastAsiaTheme="minorEastAsia" w:hAnsi="Arial" w:cs="Arial"/>
          <w:noProof/>
          <w:color w:val="000000"/>
          <w:lang w:eastAsia="cs-CZ"/>
        </w:rPr>
        <w:t xml:space="preserve">Podrobnosti o včerejším rozhodnutí najdete na stránkách Evropského parlamentu zde: </w:t>
      </w:r>
      <w:hyperlink r:id="rId8" w:history="1">
        <w:r w:rsidRPr="008F0982">
          <w:rPr>
            <w:rStyle w:val="Hypertextovodkaz"/>
            <w:rFonts w:ascii="Arial" w:eastAsiaTheme="minorEastAsia" w:hAnsi="Arial" w:cs="Arial"/>
            <w:noProof/>
            <w:lang w:eastAsia="cs-CZ"/>
          </w:rPr>
          <w:t>https://www.europarl.europa.eu/doceo/document/TA-10-2025-0064_CS.html</w:t>
        </w:r>
      </w:hyperlink>
    </w:p>
    <w:p w14:paraId="66BD2DA0" w14:textId="77777777" w:rsidR="00CD4FFF" w:rsidRDefault="00CD4FFF" w:rsidP="001636DF">
      <w:pPr>
        <w:spacing w:after="0"/>
        <w:rPr>
          <w:rFonts w:ascii="Arial" w:eastAsiaTheme="minorEastAsia" w:hAnsi="Arial" w:cs="Arial"/>
          <w:b/>
          <w:bCs/>
          <w:noProof/>
          <w:color w:val="000000"/>
          <w:lang w:eastAsia="cs-CZ"/>
        </w:rPr>
      </w:pPr>
    </w:p>
    <w:p w14:paraId="678A814A" w14:textId="3F6A293F" w:rsidR="00E4647B" w:rsidRPr="005C263F" w:rsidRDefault="00E4647B" w:rsidP="001636DF">
      <w:pPr>
        <w:spacing w:after="0"/>
        <w:rPr>
          <w:rFonts w:ascii="Arial" w:eastAsiaTheme="minorEastAsia" w:hAnsi="Arial" w:cs="Arial"/>
          <w:noProof/>
          <w:color w:val="707070"/>
          <w:lang w:eastAsia="cs-CZ"/>
        </w:rPr>
      </w:pPr>
      <w:r w:rsidRPr="005C263F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Jan Sotona</w:t>
      </w:r>
      <w:r w:rsidR="00796B4D" w:rsidRPr="005C263F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 </w:t>
      </w:r>
      <w:r w:rsidR="00796B4D" w:rsidRPr="005C263F">
        <w:rPr>
          <w:rFonts w:ascii="Arial" w:eastAsiaTheme="minorEastAsia" w:hAnsi="Arial" w:cs="Arial"/>
          <w:noProof/>
          <w:color w:val="000000"/>
          <w:lang w:eastAsia="cs-CZ"/>
        </w:rPr>
        <w:br/>
      </w:r>
      <w:r w:rsidR="005C263F">
        <w:rPr>
          <w:rFonts w:ascii="Arial" w:eastAsiaTheme="minorEastAsia" w:hAnsi="Arial" w:cs="Arial"/>
          <w:noProof/>
          <w:color w:val="707070"/>
          <w:lang w:eastAsia="cs-CZ"/>
        </w:rPr>
        <w:t>t</w:t>
      </w:r>
      <w:r w:rsidR="00796B4D" w:rsidRPr="005C263F">
        <w:rPr>
          <w:rFonts w:ascii="Arial" w:eastAsiaTheme="minorEastAsia" w:hAnsi="Arial" w:cs="Arial"/>
          <w:noProof/>
          <w:color w:val="707070"/>
          <w:lang w:eastAsia="cs-CZ"/>
        </w:rPr>
        <w:t xml:space="preserve">iskový mluvčí </w:t>
      </w:r>
    </w:p>
    <w:p w14:paraId="60FCD80E" w14:textId="3A4913CD" w:rsidR="00796B4D" w:rsidRPr="005C263F" w:rsidRDefault="00796B4D" w:rsidP="001636DF">
      <w:pPr>
        <w:spacing w:after="0"/>
        <w:rPr>
          <w:rFonts w:ascii="Arial" w:eastAsiaTheme="minorEastAsia" w:hAnsi="Arial" w:cs="Arial"/>
          <w:noProof/>
          <w:lang w:eastAsia="cs-CZ"/>
        </w:rPr>
      </w:pPr>
      <w:r w:rsidRPr="005C263F"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 w:rsidRPr="005C263F">
        <w:rPr>
          <w:rFonts w:ascii="Arial" w:eastAsiaTheme="minorEastAsia" w:hAnsi="Arial" w:cs="Arial"/>
          <w:noProof/>
          <w:color w:val="707070"/>
          <w:lang w:eastAsia="cs-CZ"/>
        </w:rPr>
        <w:br/>
        <w:t>M: +420</w:t>
      </w:r>
      <w:r w:rsidR="00E4647B" w:rsidRPr="005C263F">
        <w:rPr>
          <w:rFonts w:ascii="Arial" w:eastAsiaTheme="minorEastAsia" w:hAnsi="Arial" w:cs="Arial"/>
          <w:noProof/>
          <w:color w:val="707070"/>
          <w:lang w:eastAsia="cs-CZ"/>
        </w:rPr>
        <w:t> </w:t>
      </w:r>
      <w:r w:rsidRPr="005C263F">
        <w:rPr>
          <w:rFonts w:ascii="Arial" w:eastAsiaTheme="minorEastAsia" w:hAnsi="Arial" w:cs="Arial"/>
          <w:noProof/>
          <w:color w:val="707070"/>
          <w:lang w:eastAsia="cs-CZ"/>
        </w:rPr>
        <w:t>7</w:t>
      </w:r>
      <w:r w:rsidR="00E4647B" w:rsidRPr="005C263F">
        <w:rPr>
          <w:rFonts w:ascii="Arial" w:eastAsiaTheme="minorEastAsia" w:hAnsi="Arial" w:cs="Arial"/>
          <w:noProof/>
          <w:color w:val="707070"/>
          <w:lang w:eastAsia="cs-CZ"/>
        </w:rPr>
        <w:t>77 723</w:t>
      </w:r>
      <w:r w:rsidR="001636DF">
        <w:rPr>
          <w:rFonts w:ascii="Arial" w:eastAsiaTheme="minorEastAsia" w:hAnsi="Arial" w:cs="Arial"/>
          <w:noProof/>
          <w:color w:val="707070"/>
          <w:lang w:eastAsia="cs-CZ"/>
        </w:rPr>
        <w:t> </w:t>
      </w:r>
      <w:r w:rsidR="00E4647B" w:rsidRPr="005C263F">
        <w:rPr>
          <w:rFonts w:ascii="Arial" w:eastAsiaTheme="minorEastAsia" w:hAnsi="Arial" w:cs="Arial"/>
          <w:noProof/>
          <w:color w:val="707070"/>
          <w:lang w:eastAsia="cs-CZ"/>
        </w:rPr>
        <w:t>593</w:t>
      </w:r>
      <w:r w:rsidR="001636DF">
        <w:rPr>
          <w:rFonts w:ascii="Arial" w:eastAsiaTheme="minorEastAsia" w:hAnsi="Arial" w:cs="Arial"/>
          <w:noProof/>
          <w:color w:val="707070"/>
          <w:lang w:eastAsia="cs-CZ"/>
        </w:rPr>
        <w:t xml:space="preserve"> </w:t>
      </w:r>
      <w:r w:rsidR="001636DF" w:rsidRPr="001636DF">
        <w:rPr>
          <w:rFonts w:ascii="Arial" w:eastAsiaTheme="minorEastAsia" w:hAnsi="Arial" w:cs="Arial"/>
          <w:noProof/>
          <w:color w:val="707070"/>
          <w:lang w:eastAsia="cs-CZ"/>
        </w:rPr>
        <w:t>•</w:t>
      </w:r>
      <w:r w:rsidR="001636DF">
        <w:rPr>
          <w:rFonts w:ascii="Arial" w:eastAsiaTheme="minorEastAsia" w:hAnsi="Arial" w:cs="Arial"/>
          <w:noProof/>
          <w:color w:val="707070"/>
          <w:lang w:eastAsia="cs-CZ"/>
        </w:rPr>
        <w:t xml:space="preserve"> sotona@komora.cz </w:t>
      </w:r>
      <w:bookmarkEnd w:id="0"/>
    </w:p>
    <w:sectPr w:rsidR="00796B4D" w:rsidRPr="005C263F" w:rsidSect="00701317">
      <w:headerReference w:type="default" r:id="rId9"/>
      <w:footerReference w:type="default" r:id="rId10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98BA4" w14:textId="77777777" w:rsidR="00FC7DC2" w:rsidRDefault="00FC7DC2" w:rsidP="00FA7787">
      <w:pPr>
        <w:spacing w:after="0" w:line="240" w:lineRule="auto"/>
      </w:pPr>
      <w:r>
        <w:separator/>
      </w:r>
    </w:p>
  </w:endnote>
  <w:endnote w:type="continuationSeparator" w:id="0">
    <w:p w14:paraId="2F053645" w14:textId="77777777" w:rsidR="00FC7DC2" w:rsidRDefault="00FC7DC2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431D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28E07D16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73565" w14:textId="77777777" w:rsidR="00FC7DC2" w:rsidRDefault="00FC7DC2" w:rsidP="00FA7787">
      <w:pPr>
        <w:spacing w:after="0" w:line="240" w:lineRule="auto"/>
      </w:pPr>
      <w:r>
        <w:separator/>
      </w:r>
    </w:p>
  </w:footnote>
  <w:footnote w:type="continuationSeparator" w:id="0">
    <w:p w14:paraId="74A372D6" w14:textId="77777777" w:rsidR="00FC7DC2" w:rsidRDefault="00FC7DC2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20" w14:textId="77777777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2B1F8939" wp14:editId="73E01D8E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</w:p>
  <w:p w14:paraId="251C65AD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6605">
    <w:abstractNumId w:val="6"/>
  </w:num>
  <w:num w:numId="2" w16cid:durableId="1101604145">
    <w:abstractNumId w:val="7"/>
  </w:num>
  <w:num w:numId="3" w16cid:durableId="699748484">
    <w:abstractNumId w:val="1"/>
  </w:num>
  <w:num w:numId="4" w16cid:durableId="875771903">
    <w:abstractNumId w:val="5"/>
  </w:num>
  <w:num w:numId="5" w16cid:durableId="1127771949">
    <w:abstractNumId w:val="10"/>
  </w:num>
  <w:num w:numId="6" w16cid:durableId="1293948916">
    <w:abstractNumId w:val="8"/>
  </w:num>
  <w:num w:numId="7" w16cid:durableId="1842040217">
    <w:abstractNumId w:val="4"/>
  </w:num>
  <w:num w:numId="8" w16cid:durableId="737047097">
    <w:abstractNumId w:val="2"/>
  </w:num>
  <w:num w:numId="9" w16cid:durableId="2105301001">
    <w:abstractNumId w:val="3"/>
  </w:num>
  <w:num w:numId="10" w16cid:durableId="1057167085">
    <w:abstractNumId w:val="0"/>
  </w:num>
  <w:num w:numId="11" w16cid:durableId="539368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736E"/>
    <w:rsid w:val="00015B69"/>
    <w:rsid w:val="00040988"/>
    <w:rsid w:val="0004110E"/>
    <w:rsid w:val="000449E3"/>
    <w:rsid w:val="00063EB5"/>
    <w:rsid w:val="00085D40"/>
    <w:rsid w:val="000A6C9F"/>
    <w:rsid w:val="000D7D7C"/>
    <w:rsid w:val="000F690B"/>
    <w:rsid w:val="001029BE"/>
    <w:rsid w:val="00141FCD"/>
    <w:rsid w:val="001636DF"/>
    <w:rsid w:val="0017263E"/>
    <w:rsid w:val="0019114D"/>
    <w:rsid w:val="001D426D"/>
    <w:rsid w:val="001F5253"/>
    <w:rsid w:val="0020414B"/>
    <w:rsid w:val="002170A2"/>
    <w:rsid w:val="00217DB9"/>
    <w:rsid w:val="00243031"/>
    <w:rsid w:val="00252D53"/>
    <w:rsid w:val="00270307"/>
    <w:rsid w:val="002A56FD"/>
    <w:rsid w:val="002D2A07"/>
    <w:rsid w:val="002F4B45"/>
    <w:rsid w:val="003105B6"/>
    <w:rsid w:val="00326136"/>
    <w:rsid w:val="00350167"/>
    <w:rsid w:val="00373866"/>
    <w:rsid w:val="003A3275"/>
    <w:rsid w:val="003B1AF2"/>
    <w:rsid w:val="003B5F00"/>
    <w:rsid w:val="003C4E1E"/>
    <w:rsid w:val="003E73A8"/>
    <w:rsid w:val="003F78E6"/>
    <w:rsid w:val="00423C35"/>
    <w:rsid w:val="004436A4"/>
    <w:rsid w:val="00462FBC"/>
    <w:rsid w:val="00471BDE"/>
    <w:rsid w:val="00493FC2"/>
    <w:rsid w:val="004A2353"/>
    <w:rsid w:val="004B11B9"/>
    <w:rsid w:val="004F3509"/>
    <w:rsid w:val="00527F50"/>
    <w:rsid w:val="00561AD2"/>
    <w:rsid w:val="00580511"/>
    <w:rsid w:val="005C1335"/>
    <w:rsid w:val="005C263F"/>
    <w:rsid w:val="005D0ABA"/>
    <w:rsid w:val="005F31D4"/>
    <w:rsid w:val="006C542B"/>
    <w:rsid w:val="006D0A14"/>
    <w:rsid w:val="006F4C45"/>
    <w:rsid w:val="00701317"/>
    <w:rsid w:val="007346D9"/>
    <w:rsid w:val="0075297F"/>
    <w:rsid w:val="0077550D"/>
    <w:rsid w:val="0078564D"/>
    <w:rsid w:val="00785CD8"/>
    <w:rsid w:val="0078740D"/>
    <w:rsid w:val="00793F5E"/>
    <w:rsid w:val="00796B4D"/>
    <w:rsid w:val="007F76BB"/>
    <w:rsid w:val="00803597"/>
    <w:rsid w:val="008037C9"/>
    <w:rsid w:val="0083323E"/>
    <w:rsid w:val="00872B09"/>
    <w:rsid w:val="008E767C"/>
    <w:rsid w:val="008F0982"/>
    <w:rsid w:val="00916B9A"/>
    <w:rsid w:val="00934E12"/>
    <w:rsid w:val="00940CB2"/>
    <w:rsid w:val="00981F13"/>
    <w:rsid w:val="009B535A"/>
    <w:rsid w:val="00A0166E"/>
    <w:rsid w:val="00A25FA9"/>
    <w:rsid w:val="00A45CF6"/>
    <w:rsid w:val="00A667A8"/>
    <w:rsid w:val="00A93BD4"/>
    <w:rsid w:val="00B22367"/>
    <w:rsid w:val="00B36121"/>
    <w:rsid w:val="00B43A0D"/>
    <w:rsid w:val="00B57B87"/>
    <w:rsid w:val="00B84CE6"/>
    <w:rsid w:val="00B94DA0"/>
    <w:rsid w:val="00BD0C85"/>
    <w:rsid w:val="00CB0274"/>
    <w:rsid w:val="00CB1B6E"/>
    <w:rsid w:val="00CD4FFF"/>
    <w:rsid w:val="00CE3980"/>
    <w:rsid w:val="00D0602A"/>
    <w:rsid w:val="00D3478A"/>
    <w:rsid w:val="00D43C74"/>
    <w:rsid w:val="00DA6CDB"/>
    <w:rsid w:val="00DA6FFB"/>
    <w:rsid w:val="00E13B79"/>
    <w:rsid w:val="00E272D7"/>
    <w:rsid w:val="00E4647B"/>
    <w:rsid w:val="00E47971"/>
    <w:rsid w:val="00E7147D"/>
    <w:rsid w:val="00E760F3"/>
    <w:rsid w:val="00EA4BA4"/>
    <w:rsid w:val="00EC18C0"/>
    <w:rsid w:val="00ED27C4"/>
    <w:rsid w:val="00F152EC"/>
    <w:rsid w:val="00F200BF"/>
    <w:rsid w:val="00F23121"/>
    <w:rsid w:val="00F24359"/>
    <w:rsid w:val="00F53198"/>
    <w:rsid w:val="00FA7787"/>
    <w:rsid w:val="00FC0C33"/>
    <w:rsid w:val="00FC7DC2"/>
    <w:rsid w:val="00FD189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5971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47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17DB9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0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09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0988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9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988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040988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561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roparl.europa.eu/doceo/document/TA-10-2025-0064_C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CD1F-C05E-46D8-A98A-3B366998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Sotona Jan</cp:lastModifiedBy>
  <cp:revision>2</cp:revision>
  <cp:lastPrinted>2025-03-24T07:49:00Z</cp:lastPrinted>
  <dcterms:created xsi:type="dcterms:W3CDTF">2025-04-04T14:14:00Z</dcterms:created>
  <dcterms:modified xsi:type="dcterms:W3CDTF">2025-04-04T14:14:00Z</dcterms:modified>
</cp:coreProperties>
</file>