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B7B8" w14:textId="77777777" w:rsidR="00103FF0" w:rsidRPr="00DA0D5E" w:rsidRDefault="00103FF0" w:rsidP="00103FF0">
      <w:pPr>
        <w:jc w:val="center"/>
        <w:rPr>
          <w:rFonts w:ascii="Arial" w:hAnsi="Arial" w:cs="Arial"/>
          <w:sz w:val="36"/>
          <w:szCs w:val="36"/>
        </w:rPr>
      </w:pPr>
      <w:r w:rsidRPr="00DA0D5E">
        <w:rPr>
          <w:rFonts w:ascii="Arial" w:hAnsi="Arial" w:cs="Arial"/>
          <w:sz w:val="36"/>
          <w:szCs w:val="36"/>
        </w:rPr>
        <w:t>TISKOVÁ ZPRÁVA</w:t>
      </w:r>
    </w:p>
    <w:p w14:paraId="083EEC2F" w14:textId="77777777" w:rsidR="00103FF0" w:rsidRPr="003A3167" w:rsidRDefault="00103FF0" w:rsidP="00103F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984E52A">
        <w:rPr>
          <w:rFonts w:ascii="Arial" w:hAnsi="Arial" w:cs="Arial"/>
          <w:b/>
          <w:bCs/>
          <w:sz w:val="28"/>
          <w:szCs w:val="28"/>
        </w:rPr>
        <w:t>Šetření HK ČR: Téměř polovina firem zaměstnává zahraniční pracovníky, převažují mezi nimi Ukrajinci</w:t>
      </w:r>
    </w:p>
    <w:p w14:paraId="70F76E7C" w14:textId="77777777" w:rsidR="00103FF0" w:rsidRDefault="00103FF0" w:rsidP="00103FF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F5679B7" w14:textId="51A77168" w:rsidR="00103FF0" w:rsidRPr="00122BF4" w:rsidRDefault="00103FF0" w:rsidP="00103FF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Praha, </w:t>
      </w:r>
      <w:r>
        <w:rPr>
          <w:rFonts w:ascii="Arial" w:hAnsi="Arial" w:cs="Arial"/>
          <w:i/>
          <w:iCs/>
          <w:sz w:val="24"/>
          <w:szCs w:val="24"/>
        </w:rPr>
        <w:t>19</w:t>
      </w:r>
      <w:r>
        <w:rPr>
          <w:rFonts w:ascii="Arial" w:hAnsi="Arial" w:cs="Arial"/>
          <w:i/>
          <w:iCs/>
          <w:sz w:val="24"/>
          <w:szCs w:val="24"/>
        </w:rPr>
        <w:t xml:space="preserve">. září 2024 - </w:t>
      </w:r>
      <w:r w:rsidRPr="00122BF4">
        <w:rPr>
          <w:rFonts w:ascii="Arial" w:hAnsi="Arial" w:cs="Arial"/>
          <w:b/>
          <w:bCs/>
          <w:sz w:val="24"/>
          <w:szCs w:val="24"/>
        </w:rPr>
        <w:t xml:space="preserve">Zahraniční pracovníky </w:t>
      </w:r>
      <w:r>
        <w:rPr>
          <w:rFonts w:ascii="Arial" w:hAnsi="Arial" w:cs="Arial"/>
          <w:b/>
          <w:bCs/>
          <w:sz w:val="24"/>
          <w:szCs w:val="24"/>
        </w:rPr>
        <w:t xml:space="preserve">– nepočítajíc v to občany členských států EU – </w:t>
      </w:r>
      <w:r w:rsidRPr="00122BF4">
        <w:rPr>
          <w:rFonts w:ascii="Arial" w:hAnsi="Arial" w:cs="Arial"/>
          <w:b/>
          <w:bCs/>
          <w:sz w:val="24"/>
          <w:szCs w:val="24"/>
        </w:rPr>
        <w:t xml:space="preserve">zaměstnává zhruba polovina firem. Vyplývá to z šetření, které uskutečnila Hospodářská komora ve druhé polovině června mezi svými členy a </w:t>
      </w:r>
      <w:r>
        <w:rPr>
          <w:rFonts w:ascii="Arial" w:hAnsi="Arial" w:cs="Arial"/>
          <w:b/>
          <w:bCs/>
          <w:sz w:val="24"/>
          <w:szCs w:val="24"/>
        </w:rPr>
        <w:t xml:space="preserve">dalšími </w:t>
      </w:r>
      <w:r w:rsidRPr="00122BF4">
        <w:rPr>
          <w:rFonts w:ascii="Arial" w:hAnsi="Arial" w:cs="Arial"/>
          <w:b/>
          <w:bCs/>
          <w:sz w:val="24"/>
          <w:szCs w:val="24"/>
        </w:rPr>
        <w:t>firmami zapojenými prostřednictvím Hospodářské komory do Programu kvalifikovaný zaměstnanec.</w:t>
      </w:r>
    </w:p>
    <w:p w14:paraId="13884643" w14:textId="77777777" w:rsidR="00103FF0" w:rsidRPr="002446BE" w:rsidRDefault="00103FF0" w:rsidP="00103FF0">
      <w:pPr>
        <w:jc w:val="both"/>
        <w:rPr>
          <w:rFonts w:ascii="Arial" w:hAnsi="Arial" w:cs="Arial"/>
          <w:sz w:val="24"/>
          <w:szCs w:val="24"/>
        </w:rPr>
      </w:pPr>
      <w:r w:rsidRPr="002446BE">
        <w:rPr>
          <w:rFonts w:ascii="Arial" w:hAnsi="Arial" w:cs="Arial"/>
          <w:sz w:val="24"/>
          <w:szCs w:val="24"/>
        </w:rPr>
        <w:t xml:space="preserve">Konkrétně </w:t>
      </w:r>
      <w:r>
        <w:rPr>
          <w:rFonts w:ascii="Arial" w:hAnsi="Arial" w:cs="Arial"/>
          <w:sz w:val="24"/>
          <w:szCs w:val="24"/>
        </w:rPr>
        <w:t xml:space="preserve">zahraniční pracovníky </w:t>
      </w:r>
      <w:r w:rsidRPr="002446BE">
        <w:rPr>
          <w:rFonts w:ascii="Arial" w:hAnsi="Arial" w:cs="Arial"/>
          <w:sz w:val="24"/>
          <w:szCs w:val="24"/>
        </w:rPr>
        <w:t>zaměstnává a plánuje v</w:t>
      </w:r>
      <w:r>
        <w:rPr>
          <w:rFonts w:ascii="Arial" w:hAnsi="Arial" w:cs="Arial"/>
          <w:sz w:val="24"/>
          <w:szCs w:val="24"/>
        </w:rPr>
        <w:t xml:space="preserve"> jejich</w:t>
      </w:r>
      <w:r w:rsidRPr="002446BE">
        <w:rPr>
          <w:rFonts w:ascii="Arial" w:hAnsi="Arial" w:cs="Arial"/>
          <w:sz w:val="24"/>
          <w:szCs w:val="24"/>
        </w:rPr>
        <w:t> zaměstnávání pokračovat 49,1 % firem zapojených do šetření. Celkem je pak otázka zaměstnávání zahraničních pracovníků relevantním tématem pro dvě třetiny respondentů (66,6 %). Dalších 15,1 % dotazovaných zahraniční pracovníky sice nezaměstnává, ale do budoucna by k jejich zaměstnávání chtělo přistoupit. Pouze nízké procento firem (2,4</w:t>
      </w:r>
      <w:r>
        <w:rPr>
          <w:rFonts w:ascii="Arial" w:hAnsi="Arial" w:cs="Arial"/>
          <w:sz w:val="24"/>
          <w:szCs w:val="24"/>
        </w:rPr>
        <w:t> </w:t>
      </w:r>
      <w:r w:rsidRPr="002446BE">
        <w:rPr>
          <w:rFonts w:ascii="Arial" w:hAnsi="Arial" w:cs="Arial"/>
          <w:sz w:val="24"/>
          <w:szCs w:val="24"/>
        </w:rPr>
        <w:t xml:space="preserve">%) uvedlo, že nyní ve své firmě pracovníky ze zahraničí má, ale jsou rozhodnuti jejich zaměstnávání </w:t>
      </w:r>
      <w:r>
        <w:rPr>
          <w:rFonts w:ascii="Arial" w:hAnsi="Arial" w:cs="Arial"/>
          <w:sz w:val="24"/>
          <w:szCs w:val="24"/>
        </w:rPr>
        <w:t>u</w:t>
      </w:r>
      <w:r w:rsidRPr="002446BE">
        <w:rPr>
          <w:rFonts w:ascii="Arial" w:hAnsi="Arial" w:cs="Arial"/>
          <w:sz w:val="24"/>
          <w:szCs w:val="24"/>
        </w:rPr>
        <w:t xml:space="preserve">končit. Zbývající třetina firem uvedla, že nezaměstnává žádné zahraniční pracovníky a </w:t>
      </w:r>
      <w:r>
        <w:rPr>
          <w:rFonts w:ascii="Arial" w:hAnsi="Arial" w:cs="Arial"/>
          <w:sz w:val="24"/>
          <w:szCs w:val="24"/>
        </w:rPr>
        <w:t xml:space="preserve">ani </w:t>
      </w:r>
      <w:r w:rsidRPr="002446BE">
        <w:rPr>
          <w:rFonts w:ascii="Arial" w:hAnsi="Arial" w:cs="Arial"/>
          <w:sz w:val="24"/>
          <w:szCs w:val="24"/>
        </w:rPr>
        <w:t xml:space="preserve">neuvažuje v tomto směru o změně.  </w:t>
      </w:r>
    </w:p>
    <w:p w14:paraId="6DFC3794" w14:textId="77777777" w:rsidR="00103FF0" w:rsidRPr="005C0F4E" w:rsidRDefault="00103FF0" w:rsidP="00103F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</w:t>
      </w:r>
      <w:r w:rsidRPr="005C0F4E">
        <w:rPr>
          <w:rFonts w:ascii="Arial" w:hAnsi="Arial" w:cs="Arial"/>
          <w:i/>
          <w:iCs/>
          <w:sz w:val="24"/>
          <w:szCs w:val="24"/>
        </w:rPr>
        <w:t>Česká ekonomika se vyznačuje velmi nízkými hodnotami míry nezaměstnanosti a obecným nedostatkem pracovní síly, který členské firmy H</w:t>
      </w:r>
      <w:r>
        <w:rPr>
          <w:rFonts w:ascii="Arial" w:hAnsi="Arial" w:cs="Arial"/>
          <w:i/>
          <w:iCs/>
          <w:sz w:val="24"/>
          <w:szCs w:val="24"/>
        </w:rPr>
        <w:t>ospodářské komory</w:t>
      </w:r>
      <w:r w:rsidRPr="005C0F4E">
        <w:rPr>
          <w:rFonts w:ascii="Arial" w:hAnsi="Arial" w:cs="Arial"/>
          <w:i/>
          <w:iCs/>
          <w:sz w:val="24"/>
          <w:szCs w:val="24"/>
        </w:rPr>
        <w:t xml:space="preserve"> dlouhodobě označují za jednu z největších překážek rozvoje podnikání. V takové situaci se zahraniční pracovníci stávají klíčovým faktorem umožňujícím další růst. Význam zahraničních pracovníků pro firmy a silnou poptávku po zahraniční pracovní síle potvrzují také výsledky </w:t>
      </w:r>
      <w:r>
        <w:rPr>
          <w:rFonts w:ascii="Arial" w:hAnsi="Arial" w:cs="Arial"/>
          <w:i/>
          <w:iCs/>
          <w:sz w:val="24"/>
          <w:szCs w:val="24"/>
        </w:rPr>
        <w:t xml:space="preserve">nedávného </w:t>
      </w:r>
      <w:r w:rsidRPr="005C0F4E">
        <w:rPr>
          <w:rFonts w:ascii="Arial" w:hAnsi="Arial" w:cs="Arial"/>
          <w:i/>
          <w:iCs/>
          <w:sz w:val="24"/>
          <w:szCs w:val="24"/>
        </w:rPr>
        <w:t>šetření</w:t>
      </w:r>
      <w:r>
        <w:rPr>
          <w:rFonts w:ascii="Arial" w:hAnsi="Arial" w:cs="Arial"/>
          <w:i/>
          <w:iCs/>
          <w:sz w:val="24"/>
          <w:szCs w:val="24"/>
        </w:rPr>
        <w:t>,“</w:t>
      </w:r>
      <w:r>
        <w:rPr>
          <w:rFonts w:ascii="Arial" w:hAnsi="Arial" w:cs="Arial"/>
          <w:sz w:val="24"/>
          <w:szCs w:val="24"/>
        </w:rPr>
        <w:t xml:space="preserve"> říká prezident Hospodářské komory Zdeněk Zajíček.</w:t>
      </w:r>
    </w:p>
    <w:p w14:paraId="7FED0E4A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  <w:r w:rsidRPr="002446BE">
        <w:rPr>
          <w:rFonts w:ascii="Arial" w:hAnsi="Arial" w:cs="Arial"/>
          <w:sz w:val="24"/>
          <w:szCs w:val="24"/>
        </w:rPr>
        <w:t>Z velkých firem zahraniční pracovníky zaměstnáv</w:t>
      </w:r>
      <w:r>
        <w:rPr>
          <w:rFonts w:ascii="Arial" w:hAnsi="Arial" w:cs="Arial"/>
          <w:sz w:val="24"/>
          <w:szCs w:val="24"/>
        </w:rPr>
        <w:t>ají</w:t>
      </w:r>
      <w:r w:rsidRPr="002446BE">
        <w:rPr>
          <w:rFonts w:ascii="Arial" w:hAnsi="Arial" w:cs="Arial"/>
          <w:sz w:val="24"/>
          <w:szCs w:val="24"/>
        </w:rPr>
        <w:t xml:space="preserve"> a plánuj</w:t>
      </w:r>
      <w:r>
        <w:rPr>
          <w:rFonts w:ascii="Arial" w:hAnsi="Arial" w:cs="Arial"/>
          <w:sz w:val="24"/>
          <w:szCs w:val="24"/>
        </w:rPr>
        <w:t>í</w:t>
      </w:r>
      <w:r w:rsidRPr="002446BE">
        <w:rPr>
          <w:rFonts w:ascii="Arial" w:hAnsi="Arial" w:cs="Arial"/>
          <w:sz w:val="24"/>
          <w:szCs w:val="24"/>
        </w:rPr>
        <w:t xml:space="preserve"> v tom pokračovat téměř tři čtvrtiny </w:t>
      </w:r>
      <w:r>
        <w:rPr>
          <w:rFonts w:ascii="Arial" w:hAnsi="Arial" w:cs="Arial"/>
          <w:sz w:val="24"/>
          <w:szCs w:val="24"/>
        </w:rPr>
        <w:t>respondentů</w:t>
      </w:r>
      <w:r w:rsidRPr="002446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U</w:t>
      </w:r>
      <w:r w:rsidRPr="002446BE">
        <w:rPr>
          <w:rFonts w:ascii="Arial" w:hAnsi="Arial" w:cs="Arial"/>
          <w:sz w:val="24"/>
          <w:szCs w:val="24"/>
        </w:rPr>
        <w:t xml:space="preserve"> malých a středních je to kolem poloviny. Největší zájem o </w:t>
      </w:r>
      <w:r>
        <w:rPr>
          <w:rFonts w:ascii="Arial" w:hAnsi="Arial" w:cs="Arial"/>
          <w:sz w:val="24"/>
          <w:szCs w:val="24"/>
        </w:rPr>
        <w:t xml:space="preserve">výhledové </w:t>
      </w:r>
      <w:r w:rsidRPr="002446BE">
        <w:rPr>
          <w:rFonts w:ascii="Arial" w:hAnsi="Arial" w:cs="Arial"/>
          <w:sz w:val="24"/>
          <w:szCs w:val="24"/>
        </w:rPr>
        <w:t>zaměstnání zahraničních pracovníků</w:t>
      </w:r>
      <w:r>
        <w:rPr>
          <w:rFonts w:ascii="Arial" w:hAnsi="Arial" w:cs="Arial"/>
          <w:sz w:val="24"/>
          <w:szCs w:val="24"/>
        </w:rPr>
        <w:t xml:space="preserve"> </w:t>
      </w:r>
      <w:r w:rsidRPr="002446BE">
        <w:rPr>
          <w:rFonts w:ascii="Arial" w:hAnsi="Arial" w:cs="Arial"/>
          <w:sz w:val="24"/>
          <w:szCs w:val="24"/>
        </w:rPr>
        <w:t xml:space="preserve">mají malé společnosti (pětina z nich zahraniční zaměstnance nyní nemá, ale </w:t>
      </w:r>
      <w:r>
        <w:rPr>
          <w:rFonts w:ascii="Arial" w:hAnsi="Arial" w:cs="Arial"/>
          <w:sz w:val="24"/>
          <w:szCs w:val="24"/>
        </w:rPr>
        <w:t xml:space="preserve">do budoucna to </w:t>
      </w:r>
      <w:r w:rsidRPr="002446BE">
        <w:rPr>
          <w:rFonts w:ascii="Arial" w:hAnsi="Arial" w:cs="Arial"/>
          <w:sz w:val="24"/>
          <w:szCs w:val="24"/>
        </w:rPr>
        <w:t xml:space="preserve">plánuje). Mikro firmy se naopak nejvíce vyjadřovaly ve smyslu, že zahraniční pracovníky ve firmě nemají a ani to neplánují. Tuto možnost zvolilo 60 % z nich. </w:t>
      </w:r>
      <w:r>
        <w:rPr>
          <w:rFonts w:ascii="Arial" w:hAnsi="Arial" w:cs="Arial"/>
          <w:sz w:val="24"/>
          <w:szCs w:val="24"/>
        </w:rPr>
        <w:t xml:space="preserve">Nicméně </w:t>
      </w:r>
      <w:r w:rsidRPr="002446BE">
        <w:rPr>
          <w:rFonts w:ascii="Arial" w:hAnsi="Arial" w:cs="Arial"/>
          <w:sz w:val="24"/>
          <w:szCs w:val="24"/>
        </w:rPr>
        <w:t>tento výsledek je ovlivněn tím, že do kategorie mikro firem spadají také živnostníci, tedy společnosti zcela bez zaměstnanců.</w:t>
      </w:r>
    </w:p>
    <w:p w14:paraId="444A31E1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6D686E76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5A628A05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1CD95D3F" w14:textId="77777777" w:rsidR="006A6960" w:rsidRDefault="006A6960" w:rsidP="00103FF0">
      <w:pPr>
        <w:jc w:val="both"/>
        <w:rPr>
          <w:rFonts w:ascii="Arial" w:hAnsi="Arial" w:cs="Arial"/>
          <w:sz w:val="24"/>
          <w:szCs w:val="24"/>
        </w:rPr>
      </w:pPr>
    </w:p>
    <w:p w14:paraId="1155C40D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224EDF39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46D63F89" w14:textId="77777777" w:rsidR="00103FF0" w:rsidRPr="002446BE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24503C98" w14:textId="77777777" w:rsidR="00103FF0" w:rsidRPr="002446BE" w:rsidRDefault="00103FF0" w:rsidP="00103F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46BE">
        <w:rPr>
          <w:rFonts w:ascii="Arial" w:hAnsi="Arial" w:cs="Arial"/>
          <w:b/>
          <w:bCs/>
          <w:sz w:val="24"/>
          <w:szCs w:val="24"/>
        </w:rPr>
        <w:lastRenderedPageBreak/>
        <w:t>Zaměstnávání zahraničních pracovníků – současnost a budoucí plány</w:t>
      </w:r>
    </w:p>
    <w:p w14:paraId="3531542F" w14:textId="77777777" w:rsidR="00103FF0" w:rsidRPr="002446BE" w:rsidRDefault="00103FF0" w:rsidP="00103FF0">
      <w:pPr>
        <w:jc w:val="both"/>
        <w:rPr>
          <w:rFonts w:ascii="Arial" w:hAnsi="Arial" w:cs="Arial"/>
          <w:sz w:val="24"/>
          <w:szCs w:val="24"/>
        </w:rPr>
      </w:pPr>
      <w:r w:rsidRPr="002446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6898B2" wp14:editId="0CB6A1F5">
            <wp:extent cx="5759450" cy="2988945"/>
            <wp:effectExtent l="38100" t="38100" r="88900" b="97155"/>
            <wp:docPr id="5328748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3EF4753-A132-849C-C578-4A9990F4A7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77550F" w14:textId="77777777" w:rsidR="00103FF0" w:rsidRPr="002446BE" w:rsidRDefault="00103FF0" w:rsidP="00103F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46BE">
        <w:rPr>
          <w:rFonts w:ascii="Arial" w:hAnsi="Arial" w:cs="Arial"/>
          <w:b/>
          <w:bCs/>
          <w:sz w:val="24"/>
          <w:szCs w:val="24"/>
        </w:rPr>
        <w:t>Většina zahraničních pracovníků jsou Ukrajinci</w:t>
      </w:r>
    </w:p>
    <w:p w14:paraId="3D06ECF4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  <w:r w:rsidRPr="002446BE">
        <w:rPr>
          <w:rFonts w:ascii="Arial" w:hAnsi="Arial" w:cs="Arial"/>
          <w:sz w:val="24"/>
          <w:szCs w:val="24"/>
        </w:rPr>
        <w:t xml:space="preserve">Mezi zeměmi, ze kterých zahraniční pracovníci pocházejí, pak jednoznačně dominuje Ukrajina. Ukrajince zaměstnává 84,6 % firem. Druhou nejčastěji zaměstnávanou </w:t>
      </w:r>
      <w:r>
        <w:rPr>
          <w:rFonts w:ascii="Arial" w:hAnsi="Arial" w:cs="Arial"/>
          <w:sz w:val="24"/>
          <w:szCs w:val="24"/>
        </w:rPr>
        <w:t>skupinou</w:t>
      </w:r>
      <w:r w:rsidRPr="002446BE">
        <w:rPr>
          <w:rFonts w:ascii="Arial" w:hAnsi="Arial" w:cs="Arial"/>
          <w:sz w:val="24"/>
          <w:szCs w:val="24"/>
        </w:rPr>
        <w:t xml:space="preserve"> jsou Filipínci (16,8 %), následovaní pracovníky z Moldavska (11 %) a Mongolska (10,6 %). </w:t>
      </w:r>
    </w:p>
    <w:p w14:paraId="4DBD1193" w14:textId="77777777" w:rsidR="00103FF0" w:rsidRPr="002446BE" w:rsidRDefault="00103FF0" w:rsidP="00103FF0">
      <w:pPr>
        <w:jc w:val="both"/>
        <w:rPr>
          <w:rFonts w:ascii="Arial" w:hAnsi="Arial" w:cs="Arial"/>
          <w:sz w:val="24"/>
          <w:szCs w:val="24"/>
        </w:rPr>
      </w:pPr>
      <w:r w:rsidRPr="002446BE">
        <w:rPr>
          <w:rFonts w:ascii="Arial" w:hAnsi="Arial" w:cs="Arial"/>
          <w:sz w:val="24"/>
          <w:szCs w:val="24"/>
        </w:rPr>
        <w:t xml:space="preserve">V rámci otevřené odpovědi „Jiné země mimo Program kvalifikovaný zaměstnanec“, kterou zvolila pětina respondentů, byl zmíněn poměrně široký výčet různých států, z nichž žádný výrazně nevyčníval svou četností nad ostatními. </w:t>
      </w:r>
      <w:r>
        <w:rPr>
          <w:rFonts w:ascii="Arial" w:hAnsi="Arial" w:cs="Arial"/>
          <w:sz w:val="24"/>
          <w:szCs w:val="24"/>
        </w:rPr>
        <w:t>Firmy zmiňovaly</w:t>
      </w:r>
      <w:r w:rsidRPr="002446BE">
        <w:rPr>
          <w:rFonts w:ascii="Arial" w:hAnsi="Arial" w:cs="Arial"/>
          <w:sz w:val="24"/>
          <w:szCs w:val="24"/>
        </w:rPr>
        <w:t xml:space="preserve"> například Vietnam, Bosn</w:t>
      </w:r>
      <w:r>
        <w:rPr>
          <w:rFonts w:ascii="Arial" w:hAnsi="Arial" w:cs="Arial"/>
          <w:sz w:val="24"/>
          <w:szCs w:val="24"/>
        </w:rPr>
        <w:t>u</w:t>
      </w:r>
      <w:r w:rsidRPr="002446BE">
        <w:rPr>
          <w:rFonts w:ascii="Arial" w:hAnsi="Arial" w:cs="Arial"/>
          <w:sz w:val="24"/>
          <w:szCs w:val="24"/>
        </w:rPr>
        <w:t xml:space="preserve"> a Hercegovin</w:t>
      </w:r>
      <w:r>
        <w:rPr>
          <w:rFonts w:ascii="Arial" w:hAnsi="Arial" w:cs="Arial"/>
          <w:sz w:val="24"/>
          <w:szCs w:val="24"/>
        </w:rPr>
        <w:t>u nebo</w:t>
      </w:r>
      <w:r w:rsidRPr="002446BE">
        <w:rPr>
          <w:rFonts w:ascii="Arial" w:hAnsi="Arial" w:cs="Arial"/>
          <w:sz w:val="24"/>
          <w:szCs w:val="24"/>
        </w:rPr>
        <w:t xml:space="preserve"> Egypt.</w:t>
      </w:r>
    </w:p>
    <w:p w14:paraId="6958126F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</w:t>
      </w:r>
      <w:r w:rsidRPr="00A13EF8">
        <w:rPr>
          <w:rFonts w:ascii="Arial" w:hAnsi="Arial" w:cs="Arial"/>
          <w:i/>
          <w:iCs/>
          <w:sz w:val="24"/>
          <w:szCs w:val="24"/>
        </w:rPr>
        <w:t xml:space="preserve">S výběrem kvalifikovaných pracovníků z Filipín pomůže také asistenční kancelář Hospodářské komory, která se otevřela začátkem září v tamní metropoli Manile a provozovat ji bude společnost </w:t>
      </w:r>
      <w:proofErr w:type="spellStart"/>
      <w:r w:rsidRPr="00A13EF8">
        <w:rPr>
          <w:rFonts w:ascii="Arial" w:hAnsi="Arial" w:cs="Arial"/>
          <w:i/>
          <w:iCs/>
          <w:sz w:val="24"/>
          <w:szCs w:val="24"/>
        </w:rPr>
        <w:t>Grapecare</w:t>
      </w:r>
      <w:proofErr w:type="spellEnd"/>
      <w:r w:rsidRPr="00A13EF8">
        <w:rPr>
          <w:rFonts w:ascii="Arial" w:hAnsi="Arial" w:cs="Arial"/>
          <w:i/>
          <w:iCs/>
          <w:sz w:val="24"/>
          <w:szCs w:val="24"/>
        </w:rPr>
        <w:t xml:space="preserve"> LTD. Filipíny vnímáme jako vhodnou zemi pro získávání zahraničních zaměstnanců díky jejich znalosti angličtiny i </w:t>
      </w:r>
      <w:r>
        <w:rPr>
          <w:rFonts w:ascii="Arial" w:hAnsi="Arial" w:cs="Arial"/>
          <w:i/>
          <w:iCs/>
          <w:sz w:val="24"/>
          <w:szCs w:val="24"/>
        </w:rPr>
        <w:t xml:space="preserve">převažujícímu </w:t>
      </w:r>
      <w:r w:rsidRPr="00A13EF8">
        <w:rPr>
          <w:rFonts w:ascii="Arial" w:hAnsi="Arial" w:cs="Arial"/>
          <w:i/>
          <w:iCs/>
          <w:sz w:val="24"/>
          <w:szCs w:val="24"/>
        </w:rPr>
        <w:t>křesťanskému náboženství</w:t>
      </w:r>
      <w:r w:rsidRPr="002446BE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>“</w:t>
      </w:r>
      <w:r w:rsidRPr="002446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446BE">
        <w:rPr>
          <w:rFonts w:ascii="Arial" w:hAnsi="Arial" w:cs="Arial"/>
          <w:sz w:val="24"/>
          <w:szCs w:val="24"/>
        </w:rPr>
        <w:t xml:space="preserve">vysvětluje </w:t>
      </w:r>
      <w:r>
        <w:rPr>
          <w:rFonts w:ascii="Arial" w:hAnsi="Arial" w:cs="Arial"/>
          <w:sz w:val="24"/>
          <w:szCs w:val="24"/>
        </w:rPr>
        <w:t xml:space="preserve">ředitel Odboru služeb Hospodářské komory </w:t>
      </w:r>
      <w:r w:rsidRPr="002446BE">
        <w:rPr>
          <w:rFonts w:ascii="Arial" w:hAnsi="Arial" w:cs="Arial"/>
          <w:sz w:val="24"/>
          <w:szCs w:val="24"/>
        </w:rPr>
        <w:t>Tomáš Zelený</w:t>
      </w:r>
      <w:r>
        <w:rPr>
          <w:rFonts w:ascii="Arial" w:hAnsi="Arial" w:cs="Arial"/>
          <w:sz w:val="24"/>
          <w:szCs w:val="24"/>
        </w:rPr>
        <w:t>.</w:t>
      </w:r>
      <w:r w:rsidRPr="002446BE">
        <w:rPr>
          <w:rFonts w:ascii="Arial" w:hAnsi="Arial" w:cs="Arial"/>
          <w:sz w:val="24"/>
          <w:szCs w:val="24"/>
        </w:rPr>
        <w:t xml:space="preserve"> </w:t>
      </w:r>
    </w:p>
    <w:p w14:paraId="72C82AF3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0424AB6F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0DD17E3F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38E4DDDA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3F1FB90E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3F0B2527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299D258E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0CB69101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52E593BA" w14:textId="77777777" w:rsidR="00103FF0" w:rsidRPr="002446BE" w:rsidRDefault="00103FF0" w:rsidP="00103FF0">
      <w:pPr>
        <w:jc w:val="both"/>
        <w:rPr>
          <w:rFonts w:ascii="Arial" w:hAnsi="Arial" w:cs="Arial"/>
          <w:sz w:val="24"/>
          <w:szCs w:val="24"/>
        </w:rPr>
      </w:pPr>
    </w:p>
    <w:p w14:paraId="4C612188" w14:textId="77777777" w:rsidR="00103FF0" w:rsidRPr="002446BE" w:rsidRDefault="00103FF0" w:rsidP="00103F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46BE">
        <w:rPr>
          <w:rFonts w:ascii="Arial" w:hAnsi="Arial" w:cs="Arial"/>
          <w:b/>
          <w:bCs/>
          <w:sz w:val="24"/>
          <w:szCs w:val="24"/>
        </w:rPr>
        <w:t>Původ pracovníků zaměstnávaných v rámci Programu kvalifikovaný zaměstnanec</w:t>
      </w:r>
    </w:p>
    <w:p w14:paraId="45504BE0" w14:textId="77777777" w:rsidR="00103FF0" w:rsidRDefault="00103FF0" w:rsidP="00103FF0">
      <w:pPr>
        <w:jc w:val="both"/>
        <w:rPr>
          <w:rFonts w:ascii="Arial" w:hAnsi="Arial" w:cs="Arial"/>
          <w:sz w:val="24"/>
          <w:szCs w:val="24"/>
        </w:rPr>
      </w:pPr>
      <w:r w:rsidRPr="002446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6FFDCF" wp14:editId="4468C4D1">
            <wp:extent cx="5759450" cy="3027045"/>
            <wp:effectExtent l="38100" t="38100" r="88900" b="97155"/>
            <wp:docPr id="196077702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92BA8D2-8C1D-D3C8-0007-701F80C1A0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7BB8AD" w14:textId="77777777" w:rsidR="00103FF0" w:rsidRPr="00484FDE" w:rsidRDefault="00103FF0" w:rsidP="00103FF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84FDE">
        <w:rPr>
          <w:rFonts w:ascii="Arial" w:hAnsi="Arial" w:cs="Arial"/>
          <w:i/>
          <w:iCs/>
          <w:sz w:val="24"/>
          <w:szCs w:val="24"/>
        </w:rPr>
        <w:t xml:space="preserve">Šetření vedla Hospodářská komora ČR v období od 19. 6. do 3. 7. 2024. Jeho cílem bylo získat od členů Komory a </w:t>
      </w:r>
      <w:r>
        <w:rPr>
          <w:rFonts w:ascii="Arial" w:hAnsi="Arial" w:cs="Arial"/>
          <w:i/>
          <w:iCs/>
          <w:sz w:val="24"/>
          <w:szCs w:val="24"/>
        </w:rPr>
        <w:t xml:space="preserve">dalších </w:t>
      </w:r>
      <w:r w:rsidRPr="00484FDE">
        <w:rPr>
          <w:rFonts w:ascii="Arial" w:hAnsi="Arial" w:cs="Arial"/>
          <w:i/>
          <w:iCs/>
          <w:sz w:val="24"/>
          <w:szCs w:val="24"/>
        </w:rPr>
        <w:t>firem zapojených jejím prostřednictvím do Programu kvalifikovaný zaměstnanec informace o jejich zkušenostech se zahraničními pracovníky, případně také o problémech, na které naráží v procesu jejich přivádění na český trh práce nebo o dalších nákladech (jiných než mzdových), které se se zaměstnáváním zahraničních pracovníků pojí. Celkem na anketu odpovědělo 674 respondentů, mezi kterými jsou zástupci mikro, malých, středních, ale i velkých firem působících v různých odvětvích ekonomiky napříč všemi kraji České republiky.</w:t>
      </w:r>
    </w:p>
    <w:p w14:paraId="1EDF7FBC" w14:textId="71AD52B6" w:rsidR="00B066EF" w:rsidRPr="00103FF0" w:rsidRDefault="00B066EF" w:rsidP="00103FF0"/>
    <w:sectPr w:rsidR="00B066EF" w:rsidRPr="00103FF0" w:rsidSect="0010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A13DB"/>
    <w:multiLevelType w:val="hybridMultilevel"/>
    <w:tmpl w:val="568EF270"/>
    <w:lvl w:ilvl="0" w:tplc="5F2EF1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62"/>
    <w:rsid w:val="000034C0"/>
    <w:rsid w:val="000315C6"/>
    <w:rsid w:val="000459AD"/>
    <w:rsid w:val="00071B95"/>
    <w:rsid w:val="00081C46"/>
    <w:rsid w:val="000947DE"/>
    <w:rsid w:val="000A175E"/>
    <w:rsid w:val="000A2ABD"/>
    <w:rsid w:val="000C7A1C"/>
    <w:rsid w:val="000D5EC4"/>
    <w:rsid w:val="000E128D"/>
    <w:rsid w:val="000E31D0"/>
    <w:rsid w:val="000E580E"/>
    <w:rsid w:val="000F4DBD"/>
    <w:rsid w:val="000F519A"/>
    <w:rsid w:val="000F570F"/>
    <w:rsid w:val="00103FF0"/>
    <w:rsid w:val="00106DAE"/>
    <w:rsid w:val="00110F7A"/>
    <w:rsid w:val="00122BF4"/>
    <w:rsid w:val="00123D30"/>
    <w:rsid w:val="00130D81"/>
    <w:rsid w:val="00176FD6"/>
    <w:rsid w:val="001808B1"/>
    <w:rsid w:val="00193A5F"/>
    <w:rsid w:val="00193FEA"/>
    <w:rsid w:val="00194B22"/>
    <w:rsid w:val="0019627E"/>
    <w:rsid w:val="001B3CBF"/>
    <w:rsid w:val="001C776A"/>
    <w:rsid w:val="001D4649"/>
    <w:rsid w:val="001E12D4"/>
    <w:rsid w:val="0020193C"/>
    <w:rsid w:val="0020256E"/>
    <w:rsid w:val="002108AC"/>
    <w:rsid w:val="00241683"/>
    <w:rsid w:val="002446BE"/>
    <w:rsid w:val="002542C0"/>
    <w:rsid w:val="002629C9"/>
    <w:rsid w:val="002701A4"/>
    <w:rsid w:val="00271568"/>
    <w:rsid w:val="00285977"/>
    <w:rsid w:val="002B63C7"/>
    <w:rsid w:val="002E416C"/>
    <w:rsid w:val="002E5B26"/>
    <w:rsid w:val="002F2CFB"/>
    <w:rsid w:val="002F3678"/>
    <w:rsid w:val="003071EC"/>
    <w:rsid w:val="00310C38"/>
    <w:rsid w:val="00312388"/>
    <w:rsid w:val="00321EA0"/>
    <w:rsid w:val="00330197"/>
    <w:rsid w:val="00331890"/>
    <w:rsid w:val="00344869"/>
    <w:rsid w:val="003458A3"/>
    <w:rsid w:val="00353CB6"/>
    <w:rsid w:val="00355521"/>
    <w:rsid w:val="003678DB"/>
    <w:rsid w:val="00371A99"/>
    <w:rsid w:val="00395A1D"/>
    <w:rsid w:val="003A3167"/>
    <w:rsid w:val="003A44A7"/>
    <w:rsid w:val="003A6862"/>
    <w:rsid w:val="003C2D22"/>
    <w:rsid w:val="003E3DB2"/>
    <w:rsid w:val="003F6686"/>
    <w:rsid w:val="004010D7"/>
    <w:rsid w:val="00417A20"/>
    <w:rsid w:val="004363BE"/>
    <w:rsid w:val="00451B44"/>
    <w:rsid w:val="004615CD"/>
    <w:rsid w:val="00461665"/>
    <w:rsid w:val="004715D1"/>
    <w:rsid w:val="004730EC"/>
    <w:rsid w:val="00484FDE"/>
    <w:rsid w:val="004A0432"/>
    <w:rsid w:val="004A27EE"/>
    <w:rsid w:val="004A7BB7"/>
    <w:rsid w:val="005146A6"/>
    <w:rsid w:val="00522D02"/>
    <w:rsid w:val="00540D3F"/>
    <w:rsid w:val="0054680F"/>
    <w:rsid w:val="00551432"/>
    <w:rsid w:val="00567391"/>
    <w:rsid w:val="005B20E9"/>
    <w:rsid w:val="005B52EA"/>
    <w:rsid w:val="005C0F4E"/>
    <w:rsid w:val="0060170B"/>
    <w:rsid w:val="00623BF1"/>
    <w:rsid w:val="00625081"/>
    <w:rsid w:val="00634449"/>
    <w:rsid w:val="006362FB"/>
    <w:rsid w:val="006370AA"/>
    <w:rsid w:val="00654DE6"/>
    <w:rsid w:val="00663A08"/>
    <w:rsid w:val="00690F31"/>
    <w:rsid w:val="006A6960"/>
    <w:rsid w:val="006C1AC4"/>
    <w:rsid w:val="00703628"/>
    <w:rsid w:val="00706FFD"/>
    <w:rsid w:val="0071238C"/>
    <w:rsid w:val="00726D40"/>
    <w:rsid w:val="007366E8"/>
    <w:rsid w:val="00744E87"/>
    <w:rsid w:val="0077006A"/>
    <w:rsid w:val="007975DA"/>
    <w:rsid w:val="007A65AD"/>
    <w:rsid w:val="007A6643"/>
    <w:rsid w:val="007C4417"/>
    <w:rsid w:val="007C67DD"/>
    <w:rsid w:val="007D4958"/>
    <w:rsid w:val="007D5175"/>
    <w:rsid w:val="007E272B"/>
    <w:rsid w:val="007E7EF3"/>
    <w:rsid w:val="008031D9"/>
    <w:rsid w:val="008353AB"/>
    <w:rsid w:val="00841A28"/>
    <w:rsid w:val="00844AAD"/>
    <w:rsid w:val="0085061D"/>
    <w:rsid w:val="008756D7"/>
    <w:rsid w:val="008810E6"/>
    <w:rsid w:val="00886D33"/>
    <w:rsid w:val="0089007B"/>
    <w:rsid w:val="00891F5D"/>
    <w:rsid w:val="008B0BBE"/>
    <w:rsid w:val="008C4F3F"/>
    <w:rsid w:val="008E2149"/>
    <w:rsid w:val="00906FDA"/>
    <w:rsid w:val="00922978"/>
    <w:rsid w:val="00922F4C"/>
    <w:rsid w:val="009471D0"/>
    <w:rsid w:val="00950DCB"/>
    <w:rsid w:val="0097390D"/>
    <w:rsid w:val="00985557"/>
    <w:rsid w:val="0099038E"/>
    <w:rsid w:val="009B0CDA"/>
    <w:rsid w:val="009C0DE2"/>
    <w:rsid w:val="009D57AA"/>
    <w:rsid w:val="00A028C5"/>
    <w:rsid w:val="00A13EF8"/>
    <w:rsid w:val="00A33BB8"/>
    <w:rsid w:val="00A55F1B"/>
    <w:rsid w:val="00A76B7C"/>
    <w:rsid w:val="00A86D42"/>
    <w:rsid w:val="00A879FD"/>
    <w:rsid w:val="00A91281"/>
    <w:rsid w:val="00AA113C"/>
    <w:rsid w:val="00AE1493"/>
    <w:rsid w:val="00AF07A1"/>
    <w:rsid w:val="00AF20C7"/>
    <w:rsid w:val="00B066EF"/>
    <w:rsid w:val="00B234D0"/>
    <w:rsid w:val="00B645A0"/>
    <w:rsid w:val="00BB5DD0"/>
    <w:rsid w:val="00BC2154"/>
    <w:rsid w:val="00BF23FE"/>
    <w:rsid w:val="00BF2B70"/>
    <w:rsid w:val="00C2079B"/>
    <w:rsid w:val="00C30F6D"/>
    <w:rsid w:val="00C34301"/>
    <w:rsid w:val="00C44262"/>
    <w:rsid w:val="00C506EF"/>
    <w:rsid w:val="00C54674"/>
    <w:rsid w:val="00C574C5"/>
    <w:rsid w:val="00C7478C"/>
    <w:rsid w:val="00C93261"/>
    <w:rsid w:val="00CB5357"/>
    <w:rsid w:val="00CD29A9"/>
    <w:rsid w:val="00CE0660"/>
    <w:rsid w:val="00CF33B2"/>
    <w:rsid w:val="00CF4E92"/>
    <w:rsid w:val="00CF7371"/>
    <w:rsid w:val="00D066BD"/>
    <w:rsid w:val="00D10780"/>
    <w:rsid w:val="00D23FB2"/>
    <w:rsid w:val="00D33BE7"/>
    <w:rsid w:val="00D41FC2"/>
    <w:rsid w:val="00D47C0B"/>
    <w:rsid w:val="00D75D36"/>
    <w:rsid w:val="00D77625"/>
    <w:rsid w:val="00DA0D5E"/>
    <w:rsid w:val="00DC749C"/>
    <w:rsid w:val="00DF1980"/>
    <w:rsid w:val="00E02E58"/>
    <w:rsid w:val="00E1107F"/>
    <w:rsid w:val="00E131F8"/>
    <w:rsid w:val="00E30F3A"/>
    <w:rsid w:val="00E65E82"/>
    <w:rsid w:val="00E71688"/>
    <w:rsid w:val="00E72418"/>
    <w:rsid w:val="00E764BB"/>
    <w:rsid w:val="00E81F80"/>
    <w:rsid w:val="00E9035D"/>
    <w:rsid w:val="00E9544E"/>
    <w:rsid w:val="00EE7549"/>
    <w:rsid w:val="00EF3D98"/>
    <w:rsid w:val="00F0164B"/>
    <w:rsid w:val="00F17CD3"/>
    <w:rsid w:val="00F27A9B"/>
    <w:rsid w:val="00F554E6"/>
    <w:rsid w:val="00F621D5"/>
    <w:rsid w:val="00F6552E"/>
    <w:rsid w:val="00F82F89"/>
    <w:rsid w:val="00F96B3A"/>
    <w:rsid w:val="00FA5C6F"/>
    <w:rsid w:val="00FA68FB"/>
    <w:rsid w:val="00FB6FD0"/>
    <w:rsid w:val="00FB76C2"/>
    <w:rsid w:val="00FD0118"/>
    <w:rsid w:val="00FF554C"/>
    <w:rsid w:val="4984E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6ED"/>
  <w15:chartTrackingRefBased/>
  <w15:docId w15:val="{C1008A78-65F1-43B5-B9DE-7B9E7221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FF0"/>
  </w:style>
  <w:style w:type="paragraph" w:styleId="Nadpis1">
    <w:name w:val="heading 1"/>
    <w:basedOn w:val="Normln"/>
    <w:next w:val="Normln"/>
    <w:link w:val="Nadpis1Char"/>
    <w:uiPriority w:val="9"/>
    <w:qFormat/>
    <w:rsid w:val="00C4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2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2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2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2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2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2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2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2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2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2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262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514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0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0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0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da\Desktop\&#218;koly%20dokumenty\Ankety%20a%20&#353;et&#345;en&#237;\2024\Zam&#283;stn&#225;v&#225;n&#237;%20cizinc&#367;\Zam&#283;stn&#225;v&#225;n&#237;%20zahrani&#269;n&#237;ch%20pracovn&#237;k&#367;%20&#8211;%20vyhodnocen&#237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nda\Desktop\&#218;koly%20dokumenty\Ankety%20a%20&#353;et&#345;en&#237;\2024\Zam&#283;stn&#225;v&#225;n&#237;%20cizinc&#367;\Zam&#283;stn&#225;v&#225;n&#237;%20zahrani&#269;n&#237;ch%20pracovn&#237;k&#367;%20&#8211;%20vyhodnocen&#237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222222222222221"/>
          <c:y val="2.3518518518518518E-2"/>
          <c:w val="0.51178819444444446"/>
          <c:h val="0.9098456790123457"/>
        </c:manualLayout>
      </c:layout>
      <c:doughnutChart>
        <c:varyColors val="1"/>
        <c:ser>
          <c:idx val="1"/>
          <c:order val="0"/>
          <c:tx>
            <c:strRef>
              <c:f>'Q4 Rozřazení'!$A$22</c:f>
              <c:strCache>
                <c:ptCount val="1"/>
                <c:pt idx="0">
                  <c:v>Zaměstnáváme, ale hodláme s tím skončit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F8-47C6-928A-8B5799E0A83D}"/>
              </c:ext>
            </c:extLst>
          </c:dPt>
          <c:dPt>
            <c:idx val="1"/>
            <c:bubble3D val="0"/>
            <c:spPr>
              <a:noFill/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F8-47C6-928A-8B5799E0A83D}"/>
              </c:ext>
            </c:extLst>
          </c:dPt>
          <c:dLbls>
            <c:delete val="1"/>
          </c:dLbls>
          <c:val>
            <c:numRef>
              <c:f>'Q4 Rozřazení'!$F$51:$G$51</c:f>
              <c:numCache>
                <c:formatCode>0.0%</c:formatCode>
                <c:ptCount val="2"/>
                <c:pt idx="0">
                  <c:v>0.05</c:v>
                </c:pt>
                <c:pt idx="1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F8-47C6-928A-8B5799E0A83D}"/>
            </c:ext>
          </c:extLst>
        </c:ser>
        <c:ser>
          <c:idx val="2"/>
          <c:order val="1"/>
          <c:tx>
            <c:strRef>
              <c:f>'Q4 Rozřazení'!$A$23</c:f>
              <c:strCache>
                <c:ptCount val="1"/>
                <c:pt idx="0">
                  <c:v>Nezaměstnáváme, ale chtěli bychom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6CF8-47C6-928A-8B5799E0A83D}"/>
              </c:ext>
            </c:extLst>
          </c:dPt>
          <c:dPt>
            <c:idx val="1"/>
            <c:bubble3D val="0"/>
            <c:spPr>
              <a:noFill/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6CF8-47C6-928A-8B5799E0A83D}"/>
              </c:ext>
            </c:extLst>
          </c:dPt>
          <c:dLbls>
            <c:delete val="1"/>
          </c:dLbls>
          <c:val>
            <c:numRef>
              <c:f>'Q4 Rozřazení'!$F$52:$G$52</c:f>
              <c:numCache>
                <c:formatCode>0.0%</c:formatCode>
                <c:ptCount val="2"/>
                <c:pt idx="0">
                  <c:v>0.15</c:v>
                </c:pt>
                <c:pt idx="1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CF8-47C6-928A-8B5799E0A83D}"/>
            </c:ext>
          </c:extLst>
        </c:ser>
        <c:ser>
          <c:idx val="3"/>
          <c:order val="2"/>
          <c:tx>
            <c:strRef>
              <c:f>'Q4 Rozřazení'!$A$24</c:f>
              <c:strCache>
                <c:ptCount val="1"/>
                <c:pt idx="0">
                  <c:v>Nezaměstnáváme a ani to neplánujeme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CF8-47C6-928A-8B5799E0A83D}"/>
              </c:ext>
            </c:extLst>
          </c:dPt>
          <c:dPt>
            <c:idx val="1"/>
            <c:bubble3D val="0"/>
            <c:spPr>
              <a:noFill/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CF8-47C6-928A-8B5799E0A83D}"/>
              </c:ext>
            </c:extLst>
          </c:dPt>
          <c:dLbls>
            <c:delete val="1"/>
          </c:dLbls>
          <c:val>
            <c:numRef>
              <c:f>'Q4 Rozřazení'!$F$53:$G$53</c:f>
              <c:numCache>
                <c:formatCode>0.0%</c:formatCode>
                <c:ptCount val="2"/>
                <c:pt idx="0">
                  <c:v>0.34</c:v>
                </c:pt>
                <c:pt idx="1">
                  <c:v>0.65999999999999992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CF8-47C6-928A-8B5799E0A83D}"/>
            </c:ext>
          </c:extLst>
        </c:ser>
        <c:ser>
          <c:idx val="0"/>
          <c:order val="3"/>
          <c:tx>
            <c:strRef>
              <c:f>'Q4 Rozřazení'!$A$21</c:f>
              <c:strCache>
                <c:ptCount val="1"/>
                <c:pt idx="0">
                  <c:v>Zaměstnáváme a plánujeme v tom pokračovat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6CF8-47C6-928A-8B5799E0A83D}"/>
              </c:ext>
            </c:extLst>
          </c:dPt>
          <c:dPt>
            <c:idx val="1"/>
            <c:bubble3D val="0"/>
            <c:spPr>
              <a:noFill/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6CF8-47C6-928A-8B5799E0A83D}"/>
              </c:ext>
            </c:extLst>
          </c:dPt>
          <c:dLbls>
            <c:delete val="1"/>
          </c:dLbls>
          <c:val>
            <c:numRef>
              <c:f>'Q4 Rozřazení'!$F$50:$G$50</c:f>
              <c:numCache>
                <c:formatCode>0.0%</c:formatCode>
                <c:ptCount val="2"/>
                <c:pt idx="0">
                  <c:v>0.49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CF8-47C6-928A-8B5799E0A8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432984039407868"/>
          <c:y val="3.1358024691358025E-2"/>
          <c:w val="0.69567015960592138"/>
          <c:h val="0.890246913580246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'Q5 Země zaměstnanců'!$F$87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numFmt formatCode="0.0\ 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'Q5 Země zaměstnanců'!$A$88:$A$100</c:f>
              <c:strCache>
                <c:ptCount val="13"/>
                <c:pt idx="0">
                  <c:v>Ukrajina</c:v>
                </c:pt>
                <c:pt idx="1">
                  <c:v>Filipíny</c:v>
                </c:pt>
                <c:pt idx="2">
                  <c:v>Moldavsko</c:v>
                </c:pt>
                <c:pt idx="3">
                  <c:v>Mongolsko</c:v>
                </c:pt>
                <c:pt idx="4">
                  <c:v>Kazachstán</c:v>
                </c:pt>
                <c:pt idx="5">
                  <c:v>Srbsko</c:v>
                </c:pt>
                <c:pt idx="6">
                  <c:v>Bělorusko</c:v>
                </c:pt>
                <c:pt idx="7">
                  <c:v>Indie</c:v>
                </c:pt>
                <c:pt idx="8">
                  <c:v>Arménie</c:v>
                </c:pt>
                <c:pt idx="9">
                  <c:v>Gruzie</c:v>
                </c:pt>
                <c:pt idx="10">
                  <c:v>Severní Makedonie</c:v>
                </c:pt>
                <c:pt idx="11">
                  <c:v>Černá Hora</c:v>
                </c:pt>
                <c:pt idx="12">
                  <c:v>Jiné země mimo Program</c:v>
                </c:pt>
              </c:strCache>
            </c:strRef>
          </c:cat>
          <c:val>
            <c:numRef>
              <c:f>'Q5 Země zaměstnanců'!$F$88:$F$100</c:f>
              <c:numCache>
                <c:formatCode>0.0%</c:formatCode>
                <c:ptCount val="13"/>
                <c:pt idx="0">
                  <c:v>0.84589041095890416</c:v>
                </c:pt>
                <c:pt idx="1">
                  <c:v>0.1678082191780822</c:v>
                </c:pt>
                <c:pt idx="2">
                  <c:v>0.1095890410958904</c:v>
                </c:pt>
                <c:pt idx="3">
                  <c:v>0.10616438356164383</c:v>
                </c:pt>
                <c:pt idx="4">
                  <c:v>7.8767123287671229E-2</c:v>
                </c:pt>
                <c:pt idx="5">
                  <c:v>6.8493150684931503E-2</c:v>
                </c:pt>
                <c:pt idx="6">
                  <c:v>6.8493150684931503E-2</c:v>
                </c:pt>
                <c:pt idx="7">
                  <c:v>4.1095890410958902E-2</c:v>
                </c:pt>
                <c:pt idx="8">
                  <c:v>2.7397260273972601E-2</c:v>
                </c:pt>
                <c:pt idx="9">
                  <c:v>2.3972602739726026E-2</c:v>
                </c:pt>
                <c:pt idx="10">
                  <c:v>1.0273972602739725E-2</c:v>
                </c:pt>
                <c:pt idx="11">
                  <c:v>6.8493150684931503E-3</c:v>
                </c:pt>
                <c:pt idx="12">
                  <c:v>0.2089041095890411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0D-4D04-BAF9-0796C9439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972581712"/>
        <c:axId val="1972584112"/>
      </c:barChart>
      <c:catAx>
        <c:axId val="19725817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72584112"/>
        <c:crosses val="autoZero"/>
        <c:auto val="1"/>
        <c:lblAlgn val="ctr"/>
        <c:lblOffset val="100"/>
        <c:noMultiLvlLbl val="0"/>
      </c:catAx>
      <c:valAx>
        <c:axId val="1972584112"/>
        <c:scaling>
          <c:orientation val="minMax"/>
        </c:scaling>
        <c:delete val="1"/>
        <c:axPos val="t"/>
        <c:numFmt formatCode="0.0%" sourceLinked="1"/>
        <c:majorTickMark val="none"/>
        <c:minorTickMark val="none"/>
        <c:tickLblPos val="nextTo"/>
        <c:crossAx val="197258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0.06449</cdr:x>
      <cdr:y>0.05439</cdr:y>
    </cdr:from>
    <cdr:to>
      <cdr:x>0.59862</cdr:x>
      <cdr:y>0.15728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4AFF532E-AF7D-F641-5CE8-CF620EA6D5A3}"/>
            </a:ext>
          </a:extLst>
        </cdr:cNvPr>
        <cdr:cNvSpPr txBox="1"/>
      </cdr:nvSpPr>
      <cdr:spPr>
        <a:xfrm xmlns:a="http://schemas.openxmlformats.org/drawingml/2006/main">
          <a:off x="371475" y="176213"/>
          <a:ext cx="307657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0.13637</cdr:x>
      <cdr:y>0.03852</cdr:y>
    </cdr:from>
    <cdr:to>
      <cdr:x>0.71018</cdr:x>
      <cdr:y>0.12083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:a16="http://schemas.microsoft.com/office/drawing/2014/main" id="{D6CA605A-5274-E8E2-A786-5D8398632F88}"/>
            </a:ext>
          </a:extLst>
        </cdr:cNvPr>
        <cdr:cNvSpPr txBox="1"/>
      </cdr:nvSpPr>
      <cdr:spPr>
        <a:xfrm xmlns:a="http://schemas.openxmlformats.org/drawingml/2006/main">
          <a:off x="785441" y="115124"/>
          <a:ext cx="3304830" cy="246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0E3B1141-37C0-433E-8864-09E57679678D}" type="TxLink">
            <a:rPr lang="en-US" sz="950" b="0" i="0" u="none" strike="noStrike">
              <a:solidFill>
                <a:srgbClr val="000000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Zaměstnáváme a plánujeme v tom pokračovat</a:t>
          </a:fld>
          <a:endParaRPr lang="cs-CZ" sz="950" b="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0.19601</cdr:x>
      <cdr:y>0.13611</cdr:y>
    </cdr:from>
    <cdr:to>
      <cdr:x>0.71227</cdr:x>
      <cdr:y>0.21843</cdr:y>
    </cdr:to>
    <cdr:sp macro="" textlink="">
      <cdr:nvSpPr>
        <cdr:cNvPr id="4" name="TextovéPole 3">
          <a:extLst xmlns:a="http://schemas.openxmlformats.org/drawingml/2006/main">
            <a:ext uri="{FF2B5EF4-FFF2-40B4-BE49-F238E27FC236}">
              <a16:creationId xmlns:a16="http://schemas.microsoft.com/office/drawing/2014/main" id="{1964DF0F-F17E-EDD4-5594-A7622BCD408E}"/>
            </a:ext>
          </a:extLst>
        </cdr:cNvPr>
        <cdr:cNvSpPr txBox="1"/>
      </cdr:nvSpPr>
      <cdr:spPr>
        <a:xfrm xmlns:a="http://schemas.openxmlformats.org/drawingml/2006/main">
          <a:off x="1128927" y="406835"/>
          <a:ext cx="2973374" cy="246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94D36C8D-4AF1-4411-9F14-870976BC6C2F}" type="TxLink">
            <a:rPr lang="en-US" sz="950" b="0" i="0" u="none" strike="noStrike">
              <a:solidFill>
                <a:srgbClr val="000000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Nezaměstnáváme a ani to neplánujeme</a:t>
          </a:fld>
          <a:endParaRPr lang="cs-CZ" sz="950" b="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0.22379</cdr:x>
      <cdr:y>0.24253</cdr:y>
    </cdr:from>
    <cdr:to>
      <cdr:x>0.71889</cdr:x>
      <cdr:y>0.32485</cdr:y>
    </cdr:to>
    <cdr:sp macro="" textlink="">
      <cdr:nvSpPr>
        <cdr:cNvPr id="5" name="TextovéPole 4">
          <a:extLst xmlns:a="http://schemas.openxmlformats.org/drawingml/2006/main">
            <a:ext uri="{FF2B5EF4-FFF2-40B4-BE49-F238E27FC236}">
              <a16:creationId xmlns:a16="http://schemas.microsoft.com/office/drawing/2014/main" id="{368EB82E-3FEF-8105-3794-81172C72519E}"/>
            </a:ext>
          </a:extLst>
        </cdr:cNvPr>
        <cdr:cNvSpPr txBox="1"/>
      </cdr:nvSpPr>
      <cdr:spPr>
        <a:xfrm xmlns:a="http://schemas.openxmlformats.org/drawingml/2006/main">
          <a:off x="1288925" y="724909"/>
          <a:ext cx="2851503" cy="246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9CF2FFDA-6184-4606-B4EB-8A3085D6DF6C}" type="TxLink">
            <a:rPr lang="en-US" sz="950" b="0" i="0" u="none" strike="noStrike">
              <a:solidFill>
                <a:srgbClr val="000000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Nezaměstnáváme, ale chtěli bychom</a:t>
          </a:fld>
          <a:endParaRPr lang="cs-CZ" sz="950" b="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0.17373</cdr:x>
      <cdr:y>0.35131</cdr:y>
    </cdr:from>
    <cdr:to>
      <cdr:x>0.70818</cdr:x>
      <cdr:y>0.43362</cdr:y>
    </cdr:to>
    <cdr:sp macro="" textlink="">
      <cdr:nvSpPr>
        <cdr:cNvPr id="6" name="TextovéPole 5">
          <a:extLst xmlns:a="http://schemas.openxmlformats.org/drawingml/2006/main">
            <a:ext uri="{FF2B5EF4-FFF2-40B4-BE49-F238E27FC236}">
              <a16:creationId xmlns:a16="http://schemas.microsoft.com/office/drawing/2014/main" id="{FEE48CBB-45BC-3595-D90D-98805611F93F}"/>
            </a:ext>
          </a:extLst>
        </cdr:cNvPr>
        <cdr:cNvSpPr txBox="1"/>
      </cdr:nvSpPr>
      <cdr:spPr>
        <a:xfrm xmlns:a="http://schemas.openxmlformats.org/drawingml/2006/main">
          <a:off x="1000592" y="1050046"/>
          <a:ext cx="3078138" cy="246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DC043395-27DE-49C1-B62F-A589873D3375}" type="TxLink">
            <a:rPr lang="en-US" sz="950" b="0" i="0" u="none" strike="noStrike">
              <a:solidFill>
                <a:srgbClr val="000000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Zaměstnáváme, ale hodláme s tím skončit</a:t>
          </a:fld>
          <a:endParaRPr lang="cs-CZ" sz="950" b="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0.59035</cdr:x>
      <cdr:y>0.04263</cdr:y>
    </cdr:from>
    <cdr:to>
      <cdr:x>0.69122</cdr:x>
      <cdr:y>0.11906</cdr:y>
    </cdr:to>
    <cdr:sp macro="" textlink="">
      <cdr:nvSpPr>
        <cdr:cNvPr id="7" name="TextovéPole 6">
          <a:extLst xmlns:a="http://schemas.openxmlformats.org/drawingml/2006/main">
            <a:ext uri="{FF2B5EF4-FFF2-40B4-BE49-F238E27FC236}">
              <a16:creationId xmlns:a16="http://schemas.microsoft.com/office/drawing/2014/main" id="{A2DA9099-D0EC-E366-B6B8-31D785BEEE5E}"/>
            </a:ext>
          </a:extLst>
        </cdr:cNvPr>
        <cdr:cNvSpPr txBox="1"/>
      </cdr:nvSpPr>
      <cdr:spPr>
        <a:xfrm xmlns:a="http://schemas.openxmlformats.org/drawingml/2006/main">
          <a:off x="3400424" y="138113"/>
          <a:ext cx="5810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DC4532EF-5272-4B66-8F23-E43F06D03B6E}" type="TxLink">
            <a:rPr lang="en-US" sz="1100" b="1" i="0" u="none" strike="noStrike">
              <a:solidFill>
                <a:schemeClr val="bg1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49,1%</a:t>
          </a:fld>
          <a:endParaRPr lang="cs-CZ" sz="11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0.59035</cdr:x>
      <cdr:y>0.1514</cdr:y>
    </cdr:from>
    <cdr:to>
      <cdr:x>0.69122</cdr:x>
      <cdr:y>0.22784</cdr:y>
    </cdr:to>
    <cdr:sp macro="" textlink="">
      <cdr:nvSpPr>
        <cdr:cNvPr id="8" name="TextovéPole 7">
          <a:extLst xmlns:a="http://schemas.openxmlformats.org/drawingml/2006/main">
            <a:ext uri="{FF2B5EF4-FFF2-40B4-BE49-F238E27FC236}">
              <a16:creationId xmlns:a16="http://schemas.microsoft.com/office/drawing/2014/main" id="{C8475714-F355-9FEC-2D07-EA972122D5CF}"/>
            </a:ext>
          </a:extLst>
        </cdr:cNvPr>
        <cdr:cNvSpPr txBox="1"/>
      </cdr:nvSpPr>
      <cdr:spPr>
        <a:xfrm xmlns:a="http://schemas.openxmlformats.org/drawingml/2006/main">
          <a:off x="3400424" y="490538"/>
          <a:ext cx="5810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C1BEF388-0FC3-4DCC-995D-CC5F62EF1535}" type="TxLink">
            <a:rPr lang="en-US" sz="1100" b="1" i="0" u="none" strike="noStrike">
              <a:solidFill>
                <a:schemeClr val="bg1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33,4%</a:t>
          </a:fld>
          <a:endParaRPr lang="cs-CZ" sz="11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0.5887</cdr:x>
      <cdr:y>0.25723</cdr:y>
    </cdr:from>
    <cdr:to>
      <cdr:x>0.68957</cdr:x>
      <cdr:y>0.33367</cdr:y>
    </cdr:to>
    <cdr:sp macro="" textlink="">
      <cdr:nvSpPr>
        <cdr:cNvPr id="9" name="TextovéPole 8">
          <a:extLst xmlns:a="http://schemas.openxmlformats.org/drawingml/2006/main">
            <a:ext uri="{FF2B5EF4-FFF2-40B4-BE49-F238E27FC236}">
              <a16:creationId xmlns:a16="http://schemas.microsoft.com/office/drawing/2014/main" id="{97D09DCC-96B0-750E-EEA9-9ECC72E3935F}"/>
            </a:ext>
          </a:extLst>
        </cdr:cNvPr>
        <cdr:cNvSpPr txBox="1"/>
      </cdr:nvSpPr>
      <cdr:spPr>
        <a:xfrm xmlns:a="http://schemas.openxmlformats.org/drawingml/2006/main">
          <a:off x="3390899" y="833438"/>
          <a:ext cx="5810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A0ACCD15-45EA-4628-8AAD-AF6CCD5FD8A1}" type="TxLink">
            <a:rPr lang="en-US" sz="1100" b="1" i="0" u="none" strike="noStrike">
              <a:solidFill>
                <a:schemeClr val="bg1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15,1%</a:t>
          </a:fld>
          <a:endParaRPr lang="cs-CZ" sz="11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0.5887</cdr:x>
      <cdr:y>0.36013</cdr:y>
    </cdr:from>
    <cdr:to>
      <cdr:x>0.67965</cdr:x>
      <cdr:y>0.43656</cdr:y>
    </cdr:to>
    <cdr:sp macro="" textlink="">
      <cdr:nvSpPr>
        <cdr:cNvPr id="10" name="TextovéPole 9">
          <a:extLst xmlns:a="http://schemas.openxmlformats.org/drawingml/2006/main">
            <a:ext uri="{FF2B5EF4-FFF2-40B4-BE49-F238E27FC236}">
              <a16:creationId xmlns:a16="http://schemas.microsoft.com/office/drawing/2014/main" id="{63FB5AD9-B609-9EAE-5A4C-EAF1B216D482}"/>
            </a:ext>
          </a:extLst>
        </cdr:cNvPr>
        <cdr:cNvSpPr txBox="1"/>
      </cdr:nvSpPr>
      <cdr:spPr>
        <a:xfrm xmlns:a="http://schemas.openxmlformats.org/drawingml/2006/main">
          <a:off x="3390900" y="1166813"/>
          <a:ext cx="5238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fld id="{E38E8151-7999-469F-B186-7A3156F82667}" type="TxLink">
            <a:rPr lang="en-US" sz="1100" b="1" i="0" u="none" strike="noStrike">
              <a:solidFill>
                <a:sysClr val="windowText" lastClr="000000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rPr>
            <a:pPr/>
            <a:t>2,4%</a:t>
          </a:fld>
          <a:endParaRPr lang="cs-CZ" sz="11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0.16206</cdr:x>
      <cdr:y>0.93238</cdr:y>
    </cdr:from>
    <cdr:to>
      <cdr:x>0.82186</cdr:x>
      <cdr:y>1</cdr:y>
    </cdr:to>
    <cdr:sp macro="" textlink="">
      <cdr:nvSpPr>
        <cdr:cNvPr id="11" name="TextovéPole 10">
          <a:extLst xmlns:a="http://schemas.openxmlformats.org/drawingml/2006/main">
            <a:ext uri="{FF2B5EF4-FFF2-40B4-BE49-F238E27FC236}">
              <a16:creationId xmlns:a16="http://schemas.microsoft.com/office/drawing/2014/main" id="{973DD94B-BCBA-2DA3-1F0D-5CEFB566D6D4}"/>
            </a:ext>
          </a:extLst>
        </cdr:cNvPr>
        <cdr:cNvSpPr txBox="1"/>
      </cdr:nvSpPr>
      <cdr:spPr>
        <a:xfrm xmlns:a="http://schemas.openxmlformats.org/drawingml/2006/main">
          <a:off x="933450" y="3020925"/>
          <a:ext cx="3800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 dat:</a:t>
          </a:r>
          <a:r>
            <a:rPr lang="cs-CZ" sz="900" i="1" baseline="0">
              <a:latin typeface="Arial" panose="020B0604020202020204" pitchFamily="34" charset="0"/>
              <a:cs typeface="Arial" panose="020B0604020202020204" pitchFamily="34" charset="0"/>
            </a:rPr>
            <a:t> šetření Hospodářské komory; červen 2024; 674 respondentů</a:t>
          </a:r>
          <a:endParaRPr lang="cs-CZ" sz="9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0.19403</cdr:x>
      <cdr:y>0.93238</cdr:y>
    </cdr:from>
    <cdr:to>
      <cdr:x>0.85383</cdr:x>
      <cdr:y>1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8E417A4F-B351-88BB-C759-2154EBE93753}"/>
            </a:ext>
          </a:extLst>
        </cdr:cNvPr>
        <cdr:cNvSpPr txBox="1"/>
      </cdr:nvSpPr>
      <cdr:spPr>
        <a:xfrm xmlns:a="http://schemas.openxmlformats.org/drawingml/2006/main">
          <a:off x="1117600" y="3020911"/>
          <a:ext cx="3800448" cy="2190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 dat:</a:t>
          </a:r>
          <a:r>
            <a:rPr lang="cs-CZ" sz="900" i="1" baseline="0">
              <a:latin typeface="Arial" panose="020B0604020202020204" pitchFamily="34" charset="0"/>
              <a:cs typeface="Arial" panose="020B0604020202020204" pitchFamily="34" charset="0"/>
            </a:rPr>
            <a:t> šetření Hospodářské komory; červen 2024; 674 respondentů</a:t>
          </a:r>
          <a:endParaRPr lang="cs-CZ" sz="9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Martin</dc:creator>
  <cp:keywords/>
  <dc:description/>
  <cp:lastModifiedBy>Brychta Martin</cp:lastModifiedBy>
  <cp:revision>30</cp:revision>
  <dcterms:created xsi:type="dcterms:W3CDTF">2024-09-05T07:43:00Z</dcterms:created>
  <dcterms:modified xsi:type="dcterms:W3CDTF">2024-09-19T11:00:00Z</dcterms:modified>
</cp:coreProperties>
</file>